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5184C" w14:textId="77777777" w:rsidR="001930DA" w:rsidRPr="001930DA" w:rsidRDefault="001930DA" w:rsidP="001930DA">
      <w:pPr>
        <w:spacing w:before="6040" w:after="0"/>
        <w:jc w:val="center"/>
        <w:rPr>
          <w:rFonts w:ascii="Arial" w:eastAsia="Perpetua" w:hAnsi="Arial" w:cs="Times New Roman"/>
          <w:color w:val="FFFFFF"/>
          <w:sz w:val="20"/>
          <w:szCs w:val="20"/>
        </w:rPr>
      </w:pPr>
      <w:bookmarkStart w:id="0" w:name="_GoBack"/>
      <w:bookmarkEnd w:id="0"/>
    </w:p>
    <w:p w14:paraId="6DBDA0EE" w14:textId="77777777" w:rsidR="003573B3" w:rsidRDefault="003573B3" w:rsidP="003573B3">
      <w:pPr>
        <w:pStyle w:val="CoverFrontDate"/>
        <w:spacing w:before="7440"/>
      </w:pPr>
      <w:r>
        <w:t>DECember 30, 2016</w:t>
      </w:r>
    </w:p>
    <w:p w14:paraId="1ED3C6EB" w14:textId="77777777" w:rsidR="003573B3" w:rsidRPr="009A361E" w:rsidRDefault="003573B3" w:rsidP="003573B3">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0DCFA08F" w14:textId="77777777" w:rsidR="001930DA" w:rsidRPr="001930DA" w:rsidRDefault="001930DA" w:rsidP="001930DA">
      <w:pPr>
        <w:spacing w:before="0" w:after="0"/>
      </w:pPr>
      <w:r w:rsidRPr="001930DA">
        <w:br w:type="column"/>
      </w:r>
    </w:p>
    <w:p w14:paraId="714F4279" w14:textId="77777777" w:rsidR="006C2CDE" w:rsidRPr="006C2CDE" w:rsidRDefault="006C2CDE" w:rsidP="006C2CDE">
      <w:pPr>
        <w:spacing w:before="5280" w:after="0"/>
        <w:rPr>
          <w:b/>
          <w:sz w:val="40"/>
          <w:szCs w:val="40"/>
        </w:rPr>
      </w:pPr>
      <w:r w:rsidRPr="006C2CDE">
        <w:rPr>
          <w:b/>
          <w:sz w:val="40"/>
          <w:szCs w:val="40"/>
        </w:rPr>
        <w:t>Transitional Housing for Survivors of Domestic</w:t>
      </w:r>
    </w:p>
    <w:p w14:paraId="08B60276" w14:textId="77777777" w:rsidR="006C2CDE" w:rsidRPr="006C2CDE" w:rsidRDefault="006C2CDE" w:rsidP="006C2CDE">
      <w:pPr>
        <w:spacing w:before="0"/>
        <w:rPr>
          <w:b/>
          <w:sz w:val="40"/>
          <w:szCs w:val="40"/>
        </w:rPr>
      </w:pPr>
      <w:r w:rsidRPr="006C2CDE">
        <w:rPr>
          <w:b/>
          <w:sz w:val="40"/>
          <w:szCs w:val="40"/>
        </w:rPr>
        <w:t>and Sexual Violence: A 2014-15 Snapshot</w:t>
      </w:r>
    </w:p>
    <w:p w14:paraId="49892EED" w14:textId="6B278C0F" w:rsidR="001930DA" w:rsidRPr="001930DA" w:rsidRDefault="00F26780" w:rsidP="001930DA">
      <w:pPr>
        <w:spacing w:before="480" w:after="0"/>
        <w:rPr>
          <w:rFonts w:eastAsia="Perpetua" w:cs="Times New Roman"/>
          <w:b/>
          <w:sz w:val="26"/>
          <w:szCs w:val="26"/>
        </w:rPr>
      </w:pPr>
      <w:r>
        <w:rPr>
          <w:rFonts w:eastAsia="Perpetua" w:cs="Times New Roman"/>
          <w:b/>
          <w:sz w:val="28"/>
          <w:szCs w:val="26"/>
        </w:rPr>
        <w:t xml:space="preserve">Executive Summary of </w:t>
      </w:r>
      <w:r w:rsidR="001930DA" w:rsidRPr="001930DA">
        <w:rPr>
          <w:rFonts w:eastAsia="Perpetua" w:cs="Times New Roman"/>
          <w:b/>
          <w:sz w:val="28"/>
          <w:szCs w:val="26"/>
        </w:rPr>
        <w:t>Chapter 3: Program Housing Models</w:t>
      </w:r>
    </w:p>
    <w:p w14:paraId="2EDA0D92" w14:textId="77777777" w:rsidR="001930DA" w:rsidRPr="001930DA" w:rsidRDefault="001930DA" w:rsidP="001930DA">
      <w:pPr>
        <w:spacing w:before="480" w:after="0"/>
        <w:rPr>
          <w:rFonts w:eastAsia="Perpetua" w:cs="Times New Roman"/>
          <w:sz w:val="28"/>
          <w:szCs w:val="28"/>
        </w:rPr>
      </w:pPr>
    </w:p>
    <w:p w14:paraId="7E475AD9" w14:textId="77777777" w:rsidR="001930DA" w:rsidRPr="001930DA" w:rsidRDefault="001930DA" w:rsidP="001930DA">
      <w:pPr>
        <w:spacing w:before="480" w:after="0"/>
        <w:rPr>
          <w:rFonts w:eastAsia="Perpetua" w:cs="Times New Roman"/>
          <w:sz w:val="28"/>
          <w:szCs w:val="28"/>
        </w:rPr>
      </w:pPr>
      <w:r w:rsidRPr="001930DA">
        <w:rPr>
          <w:rFonts w:eastAsia="Perpetua" w:cs="Times New Roman"/>
          <w:sz w:val="28"/>
          <w:szCs w:val="28"/>
        </w:rPr>
        <w:t>Fred Berman, Principal Author</w:t>
      </w:r>
    </w:p>
    <w:p w14:paraId="12753B9C" w14:textId="77777777" w:rsidR="001930DA" w:rsidRPr="001930DA" w:rsidRDefault="001930DA" w:rsidP="001930DA">
      <w:pPr>
        <w:spacing w:before="480" w:after="0"/>
        <w:rPr>
          <w:rFonts w:eastAsia="Perpetua" w:cs="Times New Roman"/>
          <w:sz w:val="28"/>
          <w:szCs w:val="28"/>
        </w:rPr>
      </w:pPr>
    </w:p>
    <w:p w14:paraId="367C7E0E" w14:textId="77777777" w:rsidR="001930DA" w:rsidRPr="001930DA" w:rsidRDefault="001930DA" w:rsidP="001930DA">
      <w:pPr>
        <w:spacing w:before="360"/>
        <w:rPr>
          <w:rFonts w:eastAsia="Perpetua" w:cs="Times New Roman"/>
          <w:b/>
          <w:color w:val="003462"/>
          <w:sz w:val="28"/>
          <w:szCs w:val="28"/>
        </w:rPr>
      </w:pPr>
      <w:r w:rsidRPr="001930DA">
        <w:rPr>
          <w:rFonts w:eastAsia="Perpetua" w:cs="Times New Roman"/>
          <w:b/>
          <w:color w:val="003462"/>
          <w:sz w:val="28"/>
          <w:szCs w:val="28"/>
        </w:rPr>
        <w:t>Submitted to:</w:t>
      </w:r>
    </w:p>
    <w:p w14:paraId="60FCA345" w14:textId="77777777" w:rsidR="001930DA" w:rsidRPr="001930DA" w:rsidRDefault="001930DA" w:rsidP="001930DA">
      <w:pPr>
        <w:spacing w:before="0" w:after="0"/>
        <w:rPr>
          <w:rFonts w:eastAsia="Perpetua" w:cs="Times New Roman"/>
          <w:sz w:val="26"/>
          <w:szCs w:val="26"/>
        </w:rPr>
      </w:pPr>
      <w:r w:rsidRPr="001930DA">
        <w:rPr>
          <w:rFonts w:eastAsia="Perpetua" w:cs="Times New Roman"/>
          <w:sz w:val="26"/>
          <w:szCs w:val="26"/>
        </w:rPr>
        <w:t>Sharon Elliott, Program Manager</w:t>
      </w:r>
    </w:p>
    <w:p w14:paraId="57107325" w14:textId="77777777" w:rsidR="001930DA" w:rsidRPr="001930DA" w:rsidRDefault="001930DA" w:rsidP="001930DA">
      <w:pPr>
        <w:spacing w:before="0" w:after="0"/>
        <w:rPr>
          <w:rFonts w:eastAsia="Perpetua" w:cs="Times New Roman"/>
          <w:sz w:val="26"/>
          <w:szCs w:val="26"/>
        </w:rPr>
      </w:pPr>
      <w:r w:rsidRPr="001930DA">
        <w:rPr>
          <w:rFonts w:eastAsia="Perpetua" w:cs="Times New Roman"/>
          <w:sz w:val="26"/>
          <w:szCs w:val="26"/>
        </w:rPr>
        <w:t>Office on Violence Against Women</w:t>
      </w:r>
    </w:p>
    <w:p w14:paraId="2D1E2D8E" w14:textId="77777777" w:rsidR="00A039BF" w:rsidRPr="00A039BF" w:rsidRDefault="00A039BF" w:rsidP="00A039BF">
      <w:pPr>
        <w:spacing w:before="0" w:after="1080"/>
        <w:rPr>
          <w:rFonts w:eastAsia="Perpetua" w:cs="Times New Roman"/>
          <w:sz w:val="26"/>
          <w:szCs w:val="26"/>
        </w:rPr>
      </w:pPr>
      <w:r w:rsidRPr="00A039BF">
        <w:rPr>
          <w:rFonts w:eastAsia="Perpetua" w:cs="Times New Roman"/>
          <w:sz w:val="26"/>
          <w:szCs w:val="26"/>
        </w:rPr>
        <w:t xml:space="preserve">United States Department of Justice </w:t>
      </w:r>
    </w:p>
    <w:p w14:paraId="79C675A0" w14:textId="77777777" w:rsidR="00A039BF" w:rsidRPr="00A039BF" w:rsidRDefault="00A039BF" w:rsidP="00A039BF">
      <w:pPr>
        <w:pBdr>
          <w:top w:val="single" w:sz="8" w:space="1" w:color="auto"/>
          <w:left w:val="single" w:sz="8" w:space="4" w:color="auto"/>
          <w:bottom w:val="single" w:sz="8" w:space="1" w:color="auto"/>
          <w:right w:val="single" w:sz="8" w:space="4" w:color="auto"/>
        </w:pBdr>
        <w:ind w:left="432" w:right="720"/>
        <w:rPr>
          <w:sz w:val="18"/>
        </w:rPr>
      </w:pPr>
      <w:r w:rsidRPr="00A039BF">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4D9B818C" w14:textId="77777777" w:rsidR="00F8206B" w:rsidRPr="00A21041" w:rsidRDefault="00F8206B" w:rsidP="00F8206B"/>
    <w:p w14:paraId="61C5AC9A" w14:textId="77777777" w:rsidR="00A039BF" w:rsidRPr="00A039BF" w:rsidRDefault="00A039BF" w:rsidP="00A039BF">
      <w:pPr>
        <w:spacing w:before="0" w:after="0"/>
        <w:sectPr w:rsidR="00A039BF" w:rsidRPr="00A039BF" w:rsidSect="00A039BF">
          <w:headerReference w:type="first" r:id="rId8"/>
          <w:type w:val="continuous"/>
          <w:pgSz w:w="12240" w:h="15840" w:code="1"/>
          <w:pgMar w:top="360" w:right="360" w:bottom="360" w:left="360" w:header="360" w:footer="360" w:gutter="0"/>
          <w:cols w:num="2" w:space="432" w:equalWidth="0">
            <w:col w:w="3067" w:space="432"/>
            <w:col w:w="8021"/>
          </w:cols>
          <w:titlePg/>
          <w:docGrid w:linePitch="360"/>
        </w:sectPr>
      </w:pPr>
    </w:p>
    <w:p w14:paraId="777B7A7E" w14:textId="77777777" w:rsidR="001930DA" w:rsidRPr="001930DA" w:rsidRDefault="001930DA" w:rsidP="001930DA">
      <w:pPr>
        <w:spacing w:before="0" w:after="0"/>
        <w:sectPr w:rsidR="001930DA" w:rsidRPr="001930DA" w:rsidSect="001930DA">
          <w:headerReference w:type="first" r:id="rId9"/>
          <w:type w:val="continuous"/>
          <w:pgSz w:w="12240" w:h="15840" w:code="1"/>
          <w:pgMar w:top="360" w:right="360" w:bottom="360" w:left="360" w:header="360" w:footer="360" w:gutter="0"/>
          <w:cols w:num="2" w:space="432" w:equalWidth="0">
            <w:col w:w="3067" w:space="432"/>
            <w:col w:w="8021"/>
          </w:cols>
          <w:titlePg/>
          <w:docGrid w:linePitch="360"/>
        </w:sectPr>
      </w:pPr>
    </w:p>
    <w:p w14:paraId="4F2E93BC" w14:textId="77777777" w:rsidR="00DD75BE" w:rsidRDefault="00DD75BE" w:rsidP="00AD2B14">
      <w:pPr>
        <w:pStyle w:val="Heading2"/>
        <w:numPr>
          <w:ilvl w:val="0"/>
          <w:numId w:val="0"/>
        </w:numPr>
        <w:spacing w:before="0"/>
      </w:pPr>
      <w:bookmarkStart w:id="1" w:name="_Toc462655589"/>
      <w:bookmarkStart w:id="2" w:name="_Toc471303478"/>
      <w:bookmarkStart w:id="3" w:name="Intro_Overview"/>
      <w:r>
        <w:lastRenderedPageBreak/>
        <w:t>Note about the Use of Gendered Pronouns and Other Sensitive Terms</w:t>
      </w:r>
      <w:bookmarkEnd w:id="1"/>
      <w:bookmarkEnd w:id="2"/>
    </w:p>
    <w:p w14:paraId="48E6718E" w14:textId="47E01AF0" w:rsidR="00DD75BE" w:rsidRPr="000A457D" w:rsidRDefault="00DD75BE" w:rsidP="00DD75BE">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AE7B6E">
        <w:rPr>
          <w:sz w:val="22"/>
          <w:szCs w:val="22"/>
        </w:rPr>
        <w:t xml:space="preserve"> </w:t>
      </w:r>
      <w:r w:rsidRPr="000A457D">
        <w:rPr>
          <w:sz w:val="22"/>
          <w:szCs w:val="22"/>
        </w:rPr>
        <w:t>This report also uses feminine pronouns to refer to the provider staff of transitional housing programs that serve survivors.</w:t>
      </w:r>
      <w:r w:rsidR="00AE7B6E">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AE7B6E">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4B9F41C2" w14:textId="692F9617" w:rsidR="00AD2B14" w:rsidRPr="00AD2B14" w:rsidRDefault="00AD2B14" w:rsidP="00AD2B14">
      <w:r w:rsidRPr="00AD2B14">
        <w:t>Although the terms "victim" and "survivor" may both refer to a person who has experienced domestic or sexual violence, the term "survivor" is used more often in this document, to reflect the human potential for resilience.</w:t>
      </w:r>
      <w:r w:rsidR="00AE7B6E">
        <w:t xml:space="preserve"> </w:t>
      </w:r>
      <w:r w:rsidRPr="00AD2B14">
        <w:t>Once a victim/survivor is enrolled in a program, she is described as a "program participant" or just "participant."</w:t>
      </w:r>
      <w:r w:rsidR="00AE7B6E">
        <w:t xml:space="preserve"> </w:t>
      </w:r>
      <w:r w:rsidRPr="00AD2B14">
        <w:t>Participants may also be referred to as "survivors," as the context requires.</w:t>
      </w:r>
      <w:r w:rsidR="00AE7B6E">
        <w:t xml:space="preserve"> </w:t>
      </w:r>
      <w:r w:rsidRPr="00AD2B14">
        <w:t>Notwithstanding the importance of the duration of violence and the age of the victim, we use the terms "domestic violence" and "intimate partner violence" interchangeably, and consider "dating violence" to be subsumed under each.</w:t>
      </w:r>
    </w:p>
    <w:p w14:paraId="37AA7BE7" w14:textId="77777777" w:rsidR="00DD75BE" w:rsidRDefault="00DD75BE" w:rsidP="00DD75BE">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0" w:history="1">
        <w:r w:rsidRPr="00752DA7">
          <w:rPr>
            <w:rStyle w:val="Hyperlink"/>
            <w:i/>
          </w:rPr>
          <w:t>Advocacy Beyond Leaving</w:t>
        </w:r>
      </w:hyperlink>
      <w:r>
        <w:t xml:space="preserve"> (2009).</w:t>
      </w:r>
    </w:p>
    <w:p w14:paraId="22603140" w14:textId="00FD6854" w:rsidR="00DD75BE" w:rsidRDefault="00DD75BE" w:rsidP="00DD75BE">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AE7B6E">
        <w:t xml:space="preserve"> </w:t>
      </w:r>
      <w:r>
        <w:t>Consequently, much of the narrative is framed in terms of addressing "domestic violence" or "domestic and sexual violence," rather than naming all the constituencies.</w:t>
      </w:r>
      <w:r>
        <w:br w:type="page"/>
      </w:r>
    </w:p>
    <w:p w14:paraId="5F4E200B" w14:textId="77777777" w:rsidR="00491D77" w:rsidRDefault="00491D77" w:rsidP="00F26780">
      <w:pPr>
        <w:pStyle w:val="Heading2"/>
        <w:numPr>
          <w:ilvl w:val="0"/>
          <w:numId w:val="0"/>
        </w:numPr>
        <w:spacing w:before="0"/>
      </w:pPr>
      <w:bookmarkStart w:id="4" w:name="_Toc471303479"/>
      <w:r>
        <w:lastRenderedPageBreak/>
        <w:t>Executive Summary</w:t>
      </w:r>
      <w:bookmarkEnd w:id="4"/>
    </w:p>
    <w:p w14:paraId="53301DE3" w14:textId="261FCFAB" w:rsidR="00173CEF" w:rsidRDefault="00491D77" w:rsidP="0033328E">
      <w:pPr>
        <w:spacing w:line="235" w:lineRule="auto"/>
      </w:pPr>
      <w:r w:rsidRPr="006010AE">
        <w:t>The</w:t>
      </w:r>
      <w:r w:rsidR="00376FCD">
        <w:t xml:space="preserve"> configuration and funding of program housing </w:t>
      </w:r>
      <w:r w:rsidR="00173CEF">
        <w:t xml:space="preserve">and the way housing assistance is allocated </w:t>
      </w:r>
      <w:r w:rsidR="00376FCD">
        <w:t>i</w:t>
      </w:r>
      <w:r w:rsidRPr="006010AE">
        <w:t xml:space="preserve">nfluence the way a </w:t>
      </w:r>
      <w:r>
        <w:t>transitional housing (TH)</w:t>
      </w:r>
      <w:r w:rsidRPr="006010AE">
        <w:t xml:space="preserve"> program operates, </w:t>
      </w:r>
      <w:r w:rsidR="00173CEF">
        <w:t xml:space="preserve">and </w:t>
      </w:r>
      <w:r w:rsidR="00472188">
        <w:t>the participants</w:t>
      </w:r>
      <w:r w:rsidRPr="006010AE">
        <w:t xml:space="preserve"> it is able and best suited to serve.</w:t>
      </w:r>
      <w:r w:rsidR="00173CEF">
        <w:t xml:space="preserve"> </w:t>
      </w:r>
      <w:r w:rsidR="00837FE0">
        <w:t>H</w:t>
      </w:r>
      <w:r>
        <w:t xml:space="preserve">ousing models </w:t>
      </w:r>
      <w:r w:rsidR="00837FE0">
        <w:t>can b</w:t>
      </w:r>
      <w:r>
        <w:t xml:space="preserve">e distinguished in terms of </w:t>
      </w:r>
      <w:r w:rsidR="006E222E">
        <w:t>housing ownership</w:t>
      </w:r>
      <w:r>
        <w:t xml:space="preserve"> (</w:t>
      </w:r>
      <w:r w:rsidR="00C76CD1">
        <w:t>mainstream landlord, non-profit housing provider</w:t>
      </w:r>
      <w:r w:rsidR="00837FE0">
        <w:t xml:space="preserve">, </w:t>
      </w:r>
      <w:r>
        <w:t xml:space="preserve">victim services </w:t>
      </w:r>
      <w:r w:rsidR="00C76CD1">
        <w:t>agency</w:t>
      </w:r>
      <w:r>
        <w:t>, etc.); who signs the lease (provider or participant); the housing configur</w:t>
      </w:r>
      <w:r w:rsidR="006E222E">
        <w:t>ation</w:t>
      </w:r>
      <w:r>
        <w:t xml:space="preserve"> (congregate, clustered, </w:t>
      </w:r>
      <w:r w:rsidR="00837FE0">
        <w:t xml:space="preserve">or </w:t>
      </w:r>
      <w:r w:rsidR="003F6BF8">
        <w:t>scattered-site</w:t>
      </w:r>
      <w:r>
        <w:t>); and whether participant</w:t>
      </w:r>
      <w:r w:rsidR="00065451">
        <w:t>s</w:t>
      </w:r>
      <w:r>
        <w:t xml:space="preserve"> </w:t>
      </w:r>
      <w:r w:rsidR="00065451">
        <w:t>can opt</w:t>
      </w:r>
      <w:r w:rsidR="00837FE0">
        <w:t xml:space="preserve"> </w:t>
      </w:r>
      <w:r w:rsidR="006E222E">
        <w:t xml:space="preserve">to </w:t>
      </w:r>
      <w:r w:rsidR="00065451">
        <w:t xml:space="preserve">keep their unit (i.e., </w:t>
      </w:r>
      <w:r w:rsidR="006E222E">
        <w:t>"transition</w:t>
      </w:r>
      <w:r w:rsidR="00065451">
        <w:t>-</w:t>
      </w:r>
      <w:r w:rsidR="006E222E">
        <w:t>in</w:t>
      </w:r>
      <w:r w:rsidR="00065451">
        <w:t>-</w:t>
      </w:r>
      <w:r w:rsidR="006E222E">
        <w:t>place"</w:t>
      </w:r>
      <w:r w:rsidR="00065451">
        <w:t>)</w:t>
      </w:r>
      <w:r w:rsidR="00837FE0">
        <w:t xml:space="preserve"> or </w:t>
      </w:r>
      <w:r w:rsidR="00065451">
        <w:t>must</w:t>
      </w:r>
      <w:r>
        <w:t xml:space="preserve"> vacate the </w:t>
      </w:r>
      <w:r w:rsidR="00837FE0">
        <w:t>unit</w:t>
      </w:r>
      <w:r>
        <w:t xml:space="preserve"> </w:t>
      </w:r>
      <w:r w:rsidR="00173CEF">
        <w:t>and find and transition to other housing once the</w:t>
      </w:r>
      <w:r>
        <w:t xml:space="preserve">ir </w:t>
      </w:r>
      <w:r w:rsidR="00173CEF">
        <w:t>term of assistance ends</w:t>
      </w:r>
      <w:r w:rsidR="00837FE0">
        <w:t xml:space="preserve"> ("temporary" or "traditional TH")</w:t>
      </w:r>
      <w:r>
        <w:t>.</w:t>
      </w:r>
      <w:r w:rsidR="00837FE0">
        <w:t xml:space="preserve"> </w:t>
      </w:r>
      <w:r w:rsidR="00173CEF">
        <w:t>Different providers implement the same model in different ways, for example, by varying the amount, duration, and scope of assistance with housing-related costs).</w:t>
      </w:r>
      <w:r w:rsidR="00AE7B6E">
        <w:t xml:space="preserve"> </w:t>
      </w:r>
    </w:p>
    <w:p w14:paraId="77F769C6" w14:textId="77777777" w:rsidR="00491D77" w:rsidRDefault="00173CEF" w:rsidP="0033328E">
      <w:pPr>
        <w:spacing w:line="235" w:lineRule="auto"/>
      </w:pPr>
      <w:r>
        <w:t xml:space="preserve">Chapter 3 reviews the various housing models used by TH programs, their similarities and differences, and the implications of using particular models or taking particular approaches to implementing those models. </w:t>
      </w:r>
    </w:p>
    <w:p w14:paraId="69A1C8BD" w14:textId="4DAC48DC" w:rsidR="00491D77" w:rsidRDefault="00491D77" w:rsidP="0033328E">
      <w:pPr>
        <w:spacing w:line="235" w:lineRule="auto"/>
      </w:pPr>
      <w:r>
        <w:t xml:space="preserve">Sections of this chapter examine -- from both the </w:t>
      </w:r>
      <w:r w:rsidR="005A1D16">
        <w:t xml:space="preserve">vantage point </w:t>
      </w:r>
      <w:r>
        <w:t>of a provider and a participant</w:t>
      </w:r>
      <w:r w:rsidR="00162468">
        <w:rPr>
          <w:rStyle w:val="FootnoteReference"/>
        </w:rPr>
        <w:footnoteReference w:id="3"/>
      </w:r>
      <w:r>
        <w:t xml:space="preserve"> -- the strengths and challenges </w:t>
      </w:r>
      <w:r w:rsidR="001A4297">
        <w:t>of</w:t>
      </w:r>
      <w:r>
        <w:t xml:space="preserve"> each model, and the factors that m</w:t>
      </w:r>
      <w:r w:rsidR="00D10C2B">
        <w:t>ay</w:t>
      </w:r>
      <w:r>
        <w:t xml:space="preserve"> </w:t>
      </w:r>
      <w:r w:rsidR="00D10C2B">
        <w:t xml:space="preserve">influence the decision about which type of housing is the "best fit" for a </w:t>
      </w:r>
      <w:r>
        <w:t>given survivor</w:t>
      </w:r>
      <w:r w:rsidR="005B1C60">
        <w:t>, assuming a program offers more than one housing option</w:t>
      </w:r>
      <w:r>
        <w:t>.</w:t>
      </w:r>
      <w:r w:rsidR="00AE7B6E">
        <w:t xml:space="preserve"> </w:t>
      </w:r>
      <w:r>
        <w:t xml:space="preserve"> In discussing "best fit" considerations, we explore </w:t>
      </w:r>
      <w:r w:rsidR="00065451">
        <w:t>participant-specific</w:t>
      </w:r>
      <w:r>
        <w:t xml:space="preserve"> factors (e.g., household size, income prospects, tenancy "credentials," safety issues, </w:t>
      </w:r>
      <w:r w:rsidR="001A4297">
        <w:t>participant</w:t>
      </w:r>
      <w:r>
        <w:t>s</w:t>
      </w:r>
      <w:r w:rsidR="001A4297">
        <w:t>' desire to remain</w:t>
      </w:r>
      <w:r>
        <w:t xml:space="preserve"> connected to their </w:t>
      </w:r>
      <w:r w:rsidR="001A4297">
        <w:t xml:space="preserve">home </w:t>
      </w:r>
      <w:r>
        <w:t xml:space="preserve">community </w:t>
      </w:r>
      <w:r w:rsidR="003F6BF8">
        <w:t>versus</w:t>
      </w:r>
      <w:r>
        <w:t xml:space="preserve"> </w:t>
      </w:r>
      <w:r w:rsidR="001A4297">
        <w:t xml:space="preserve">desire to </w:t>
      </w:r>
      <w:r>
        <w:t xml:space="preserve">avoid </w:t>
      </w:r>
      <w:r w:rsidR="001A4297">
        <w:t xml:space="preserve">such </w:t>
      </w:r>
      <w:r>
        <w:t xml:space="preserve">contact, </w:t>
      </w:r>
      <w:r w:rsidR="005B1C60">
        <w:t xml:space="preserve">and </w:t>
      </w:r>
      <w:r w:rsidR="00065451">
        <w:t xml:space="preserve">participants' desire </w:t>
      </w:r>
      <w:r>
        <w:t xml:space="preserve">for formal </w:t>
      </w:r>
      <w:r w:rsidR="001A4297">
        <w:t>and/or</w:t>
      </w:r>
      <w:r>
        <w:t xml:space="preserve"> peer support); environmental conditions (e.g., the housing market, job market, </w:t>
      </w:r>
      <w:r w:rsidR="005B1C60">
        <w:t xml:space="preserve">and </w:t>
      </w:r>
      <w:r>
        <w:t xml:space="preserve">access to </w:t>
      </w:r>
      <w:r w:rsidR="00065451">
        <w:t xml:space="preserve">transportation and </w:t>
      </w:r>
      <w:r>
        <w:t xml:space="preserve">community-based services); and the strengths and </w:t>
      </w:r>
      <w:r w:rsidR="00065451">
        <w:t>limitations of</w:t>
      </w:r>
      <w:r>
        <w:t xml:space="preserve"> </w:t>
      </w:r>
      <w:r w:rsidR="00065451">
        <w:t>grants from</w:t>
      </w:r>
      <w:r w:rsidR="001A4297">
        <w:t xml:space="preserve"> </w:t>
      </w:r>
      <w:r>
        <w:t>the primary fund</w:t>
      </w:r>
      <w:r w:rsidR="001A4297">
        <w:t xml:space="preserve">ers of </w:t>
      </w:r>
      <w:r w:rsidR="00AF3B85">
        <w:t>TH programs:</w:t>
      </w:r>
      <w:r>
        <w:t xml:space="preserve"> </w:t>
      </w:r>
      <w:r w:rsidR="00376FCD">
        <w:t xml:space="preserve">the </w:t>
      </w:r>
      <w:r>
        <w:t>OVW</w:t>
      </w:r>
      <w:r w:rsidR="00376FCD">
        <w:t>'s Transitional Housing Assistance Grants Program</w:t>
      </w:r>
      <w:r>
        <w:t xml:space="preserve"> and </w:t>
      </w:r>
      <w:r w:rsidR="001A4297">
        <w:t>the US Department of Housing and Urban Development's (</w:t>
      </w:r>
      <w:r>
        <w:t>HUD</w:t>
      </w:r>
      <w:r w:rsidR="00AF3B85">
        <w:t>'s</w:t>
      </w:r>
      <w:r w:rsidR="001A4297">
        <w:t>)</w:t>
      </w:r>
      <w:r>
        <w:t xml:space="preserve"> </w:t>
      </w:r>
      <w:r w:rsidR="001A4297">
        <w:t>Continuum of Care (CoC) and Emergency Solutions G</w:t>
      </w:r>
      <w:r>
        <w:t>rants</w:t>
      </w:r>
      <w:r w:rsidR="001A4297">
        <w:t xml:space="preserve"> (ESG) programs</w:t>
      </w:r>
      <w:r>
        <w:t>.</w:t>
      </w:r>
      <w:r w:rsidR="00AF3B85">
        <w:rPr>
          <w:rStyle w:val="FootnoteReference"/>
        </w:rPr>
        <w:footnoteReference w:id="4"/>
      </w:r>
      <w:r>
        <w:t xml:space="preserve"> </w:t>
      </w:r>
    </w:p>
    <w:p w14:paraId="7E9EE594" w14:textId="0933AF8B" w:rsidR="00491D77" w:rsidRDefault="00B82A65" w:rsidP="0033328E">
      <w:pPr>
        <w:spacing w:line="235" w:lineRule="auto"/>
      </w:pPr>
      <w:r>
        <w:t xml:space="preserve">Chapter 3 </w:t>
      </w:r>
      <w:r w:rsidR="00607172">
        <w:t xml:space="preserve">also </w:t>
      </w:r>
      <w:r>
        <w:t>explores</w:t>
      </w:r>
      <w:r w:rsidR="00491D77">
        <w:t xml:space="preserve"> how specific aspects of </w:t>
      </w:r>
      <w:r>
        <w:t>the various</w:t>
      </w:r>
      <w:r w:rsidR="00491D77">
        <w:t xml:space="preserve"> </w:t>
      </w:r>
      <w:r w:rsidR="008E1258">
        <w:t xml:space="preserve">housing </w:t>
      </w:r>
      <w:r w:rsidR="00491D77">
        <w:t xml:space="preserve">models or </w:t>
      </w:r>
      <w:r w:rsidR="00607172">
        <w:t xml:space="preserve">accompanying </w:t>
      </w:r>
      <w:r w:rsidR="00491D77">
        <w:t>regulatory requirements m</w:t>
      </w:r>
      <w:r>
        <w:t>ay</w:t>
      </w:r>
      <w:r w:rsidR="00491D77">
        <w:t xml:space="preserve"> </w:t>
      </w:r>
      <w:r>
        <w:t xml:space="preserve">enhance or </w:t>
      </w:r>
      <w:r w:rsidR="00491D77">
        <w:t xml:space="preserve">limit a program's ability to serve </w:t>
      </w:r>
      <w:r>
        <w:t>survivor</w:t>
      </w:r>
      <w:r w:rsidR="00607172">
        <w:t xml:space="preserve">s </w:t>
      </w:r>
      <w:r w:rsidR="008E1258">
        <w:t xml:space="preserve">with different needs, attributes, </w:t>
      </w:r>
      <w:r w:rsidR="00607172">
        <w:t>strengths</w:t>
      </w:r>
      <w:r w:rsidR="008E1258">
        <w:t>,</w:t>
      </w:r>
      <w:r w:rsidR="00607172">
        <w:t xml:space="preserve"> and challenges</w:t>
      </w:r>
      <w:r w:rsidR="00491D77">
        <w:t>.</w:t>
      </w:r>
      <w:r>
        <w:t xml:space="preserve"> Because </w:t>
      </w:r>
      <w:r w:rsidR="00491D77">
        <w:t xml:space="preserve">most </w:t>
      </w:r>
      <w:r w:rsidR="00607172">
        <w:t xml:space="preserve">regions of the country are served by, </w:t>
      </w:r>
      <w:r>
        <w:t>at most,</w:t>
      </w:r>
      <w:r w:rsidR="00491D77">
        <w:t xml:space="preserve"> one or two </w:t>
      </w:r>
      <w:r w:rsidR="00607172">
        <w:t xml:space="preserve">specialized TH </w:t>
      </w:r>
      <w:r>
        <w:t>programs</w:t>
      </w:r>
      <w:r w:rsidR="00491D77">
        <w:t>,</w:t>
      </w:r>
      <w:r w:rsidR="00FC0DE9">
        <w:rPr>
          <w:rStyle w:val="FootnoteReference"/>
        </w:rPr>
        <w:footnoteReference w:id="5"/>
      </w:r>
      <w:r w:rsidR="00491D77">
        <w:t xml:space="preserve"> </w:t>
      </w:r>
      <w:r w:rsidR="00607172">
        <w:t>and because</w:t>
      </w:r>
      <w:r w:rsidR="00FC0DE9">
        <w:t xml:space="preserve">, as discussed in </w:t>
      </w:r>
      <w:hyperlink r:id="rId11" w:history="1">
        <w:r w:rsidR="00FC0DE9" w:rsidRPr="00A04FF6">
          <w:rPr>
            <w:rStyle w:val="Hyperlink"/>
          </w:rPr>
          <w:t>Chapter 2</w:t>
        </w:r>
      </w:hyperlink>
      <w:r w:rsidR="00FC0DE9">
        <w:t xml:space="preserve"> ("</w:t>
      </w:r>
      <w:r w:rsidR="00FC0DE9" w:rsidRPr="00F55B22">
        <w:t>Survivor Access and Participant Selection</w:t>
      </w:r>
      <w:r w:rsidR="00FC0DE9">
        <w:t xml:space="preserve">"), </w:t>
      </w:r>
      <w:r w:rsidR="008E1258">
        <w:t xml:space="preserve">the need and </w:t>
      </w:r>
      <w:r w:rsidR="00FC0DE9">
        <w:t xml:space="preserve">demand </w:t>
      </w:r>
      <w:r w:rsidR="008E1258">
        <w:t>for</w:t>
      </w:r>
      <w:r w:rsidR="00FC0DE9">
        <w:t xml:space="preserve"> specialized TH programs</w:t>
      </w:r>
      <w:r w:rsidR="008E1258">
        <w:t xml:space="preserve"> far exceeds the supply</w:t>
      </w:r>
      <w:r w:rsidR="00FC0DE9">
        <w:t xml:space="preserve">, </w:t>
      </w:r>
      <w:r w:rsidR="00607172">
        <w:t xml:space="preserve">survivors </w:t>
      </w:r>
      <w:r w:rsidR="009D520F">
        <w:t xml:space="preserve">of domestic or sexual violence </w:t>
      </w:r>
      <w:r w:rsidR="008E1258">
        <w:t xml:space="preserve">do not necessarily have a choice about the type of </w:t>
      </w:r>
      <w:r w:rsidR="009D520F">
        <w:t xml:space="preserve">program </w:t>
      </w:r>
      <w:r w:rsidR="00607172">
        <w:t xml:space="preserve">housing </w:t>
      </w:r>
      <w:r w:rsidR="009D520F">
        <w:t>they will enter when they are ready to move on from a DV shelter or other interim living arrangement.</w:t>
      </w:r>
    </w:p>
    <w:p w14:paraId="30DA66B0" w14:textId="2C500A60" w:rsidR="00491D77" w:rsidRDefault="009D520F" w:rsidP="0033328E">
      <w:pPr>
        <w:spacing w:line="235" w:lineRule="auto"/>
      </w:pPr>
      <w:r>
        <w:t xml:space="preserve">Keeping in mind the respective strengths and limitations of the different housing models, </w:t>
      </w:r>
      <w:r w:rsidR="00B82A65">
        <w:t xml:space="preserve">the narrative </w:t>
      </w:r>
      <w:r w:rsidR="00491D77">
        <w:t>discuss</w:t>
      </w:r>
      <w:r w:rsidR="00B82A65">
        <w:t>es</w:t>
      </w:r>
      <w:r w:rsidR="00491D77">
        <w:t xml:space="preserve"> trends toward increased reliance on participant-leased, scattered</w:t>
      </w:r>
      <w:r>
        <w:t>-</w:t>
      </w:r>
      <w:r w:rsidR="00491D77">
        <w:t xml:space="preserve">site, transition-in-place programs, which </w:t>
      </w:r>
      <w:r w:rsidR="00791516">
        <w:t>have</w:t>
      </w:r>
      <w:r w:rsidR="00491D77">
        <w:t xml:space="preserve"> only be</w:t>
      </w:r>
      <w:r w:rsidR="00791516">
        <w:t>en</w:t>
      </w:r>
      <w:r w:rsidR="00491D77">
        <w:t xml:space="preserve"> accelerated by HUD's funding decisions</w:t>
      </w:r>
      <w:r w:rsidR="00791516">
        <w:t xml:space="preserve"> terminating grants to some </w:t>
      </w:r>
      <w:r w:rsidR="00491D77">
        <w:t xml:space="preserve">traditional TH projects and </w:t>
      </w:r>
      <w:r w:rsidR="00791516">
        <w:t>expanding</w:t>
      </w:r>
      <w:r w:rsidR="00491D77">
        <w:t xml:space="preserve"> </w:t>
      </w:r>
      <w:r w:rsidR="00791516">
        <w:t xml:space="preserve">the number of </w:t>
      </w:r>
      <w:r w:rsidR="00491D77">
        <w:t>R</w:t>
      </w:r>
      <w:r w:rsidR="00791516">
        <w:t xml:space="preserve">apid </w:t>
      </w:r>
      <w:r w:rsidR="00491D77">
        <w:t>R</w:t>
      </w:r>
      <w:r>
        <w:t>ehousing (</w:t>
      </w:r>
      <w:r w:rsidR="00791516">
        <w:t>RRH</w:t>
      </w:r>
      <w:r>
        <w:t>)</w:t>
      </w:r>
      <w:r w:rsidR="00791516">
        <w:t xml:space="preserve"> </w:t>
      </w:r>
      <w:r w:rsidR="00491D77">
        <w:t>projects.</w:t>
      </w:r>
      <w:r w:rsidR="00AE7B6E">
        <w:t xml:space="preserve"> </w:t>
      </w:r>
      <w:r w:rsidR="00791516">
        <w:t>The narrative cites t</w:t>
      </w:r>
      <w:r w:rsidR="00491D77">
        <w:t xml:space="preserve">wo national models </w:t>
      </w:r>
      <w:r w:rsidR="006763A3">
        <w:t>that</w:t>
      </w:r>
      <w:r w:rsidR="00491D77">
        <w:t xml:space="preserve"> used supplemental funding to overcome some of the regulatory constraints on the RRH model, enabling it to effectively serve subpopulations that it is ordinarily less well able to serve.</w:t>
      </w:r>
    </w:p>
    <w:p w14:paraId="45A23498" w14:textId="77777777" w:rsidR="00491D77" w:rsidRDefault="00791516" w:rsidP="0033328E">
      <w:pPr>
        <w:spacing w:after="0" w:line="235" w:lineRule="auto"/>
      </w:pPr>
      <w:r>
        <w:t>The chapter includes numerous</w:t>
      </w:r>
      <w:r w:rsidR="00491D77">
        <w:t xml:space="preserve"> pr</w:t>
      </w:r>
      <w:r>
        <w:t>ovider comments describing the</w:t>
      </w:r>
      <w:r w:rsidR="00B714BC">
        <w:t>ir</w:t>
      </w:r>
      <w:r w:rsidR="00491D77">
        <w:t xml:space="preserve"> </w:t>
      </w:r>
      <w:r w:rsidR="00E8608E">
        <w:t>use of the</w:t>
      </w:r>
      <w:r w:rsidR="00B714BC">
        <w:t xml:space="preserve"> different </w:t>
      </w:r>
      <w:r w:rsidR="00E8608E">
        <w:t xml:space="preserve">housing models, the successes, </w:t>
      </w:r>
      <w:r w:rsidR="00491D77">
        <w:t>the c</w:t>
      </w:r>
      <w:r w:rsidR="00E8608E">
        <w:t>hallenges they have encountered, and how they have addressed those challenges.</w:t>
      </w:r>
      <w:r w:rsidR="00491D77">
        <w:br w:type="page"/>
      </w:r>
    </w:p>
    <w:p w14:paraId="1D343CAF" w14:textId="0432D70E" w:rsidR="00596FA1" w:rsidRDefault="00596FA1" w:rsidP="00F26780">
      <w:pPr>
        <w:pStyle w:val="Heading2"/>
        <w:numPr>
          <w:ilvl w:val="0"/>
          <w:numId w:val="0"/>
        </w:numPr>
        <w:spacing w:before="360"/>
      </w:pPr>
      <w:bookmarkStart w:id="5" w:name="_Toc462655651"/>
      <w:bookmarkStart w:id="6" w:name="_Toc471303542"/>
      <w:bookmarkEnd w:id="3"/>
      <w:r>
        <w:lastRenderedPageBreak/>
        <w:t>References</w:t>
      </w:r>
      <w:bookmarkEnd w:id="5"/>
      <w:bookmarkEnd w:id="6"/>
    </w:p>
    <w:p w14:paraId="0B52DAFE" w14:textId="77777777" w:rsidR="00D34A8F" w:rsidRPr="007761DD" w:rsidRDefault="00D34A8F" w:rsidP="00D34A8F">
      <w:pPr>
        <w:ind w:left="360" w:hanging="360"/>
        <w:rPr>
          <w:color w:val="0000FF" w:themeColor="hyperlink"/>
          <w:sz w:val="20"/>
          <w:szCs w:val="20"/>
          <w:u w:val="single"/>
        </w:rPr>
      </w:pPr>
      <w:r w:rsidRPr="007761DD">
        <w:rPr>
          <w:sz w:val="20"/>
          <w:szCs w:val="20"/>
        </w:rPr>
        <w:t xml:space="preserve">Davies, J. (2009). </w:t>
      </w:r>
      <w:r w:rsidRPr="007761DD">
        <w:rPr>
          <w:i/>
          <w:sz w:val="20"/>
          <w:szCs w:val="20"/>
        </w:rPr>
        <w:t xml:space="preserve">Helping Battered Women in Contact with Current or Former Partners: A Guide for Domestic Violence Advocates. </w:t>
      </w:r>
      <w:r w:rsidRPr="007761DD">
        <w:rPr>
          <w:sz w:val="20"/>
          <w:szCs w:val="20"/>
        </w:rPr>
        <w:t xml:space="preserve">San Francisco, CA: Family Violence Prevention Fund. Retrieved April 27, 2016, from </w:t>
      </w:r>
      <w:hyperlink r:id="rId12" w:history="1">
        <w:r w:rsidRPr="007761DD">
          <w:rPr>
            <w:rStyle w:val="Hyperlink"/>
            <w:sz w:val="20"/>
            <w:szCs w:val="20"/>
          </w:rPr>
          <w:t>https://www.futureswithoutviolence.org/userfiles/file/Children_and_Families/Advocates%20Guide%281%29.pdf</w:t>
        </w:r>
      </w:hyperlink>
    </w:p>
    <w:p w14:paraId="614AA575" w14:textId="77777777" w:rsidR="00906A7B" w:rsidRPr="007761DD" w:rsidRDefault="00906A7B" w:rsidP="00906A7B">
      <w:pPr>
        <w:spacing w:before="0"/>
        <w:ind w:left="360" w:hanging="360"/>
        <w:rPr>
          <w:color w:val="0000FF" w:themeColor="hyperlink"/>
          <w:sz w:val="20"/>
          <w:szCs w:val="20"/>
          <w:u w:val="single"/>
        </w:rPr>
      </w:pPr>
      <w:r w:rsidRPr="007761DD">
        <w:rPr>
          <w:sz w:val="20"/>
          <w:szCs w:val="20"/>
        </w:rPr>
        <w:t xml:space="preserve">Missouri Coalition Against Domestic and Sexual Violence (MCADSV). (2015). </w:t>
      </w:r>
      <w:r w:rsidRPr="007761DD">
        <w:rPr>
          <w:i/>
          <w:sz w:val="20"/>
          <w:szCs w:val="20"/>
        </w:rPr>
        <w:t xml:space="preserve">Understanding the Nature and Dynamics of Domestic Violence. </w:t>
      </w:r>
      <w:r w:rsidRPr="007761DD">
        <w:rPr>
          <w:sz w:val="20"/>
          <w:szCs w:val="20"/>
        </w:rPr>
        <w:t xml:space="preserve">Retrieved April 20, 2016, from </w:t>
      </w:r>
      <w:hyperlink r:id="rId13" w:history="1">
        <w:r w:rsidRPr="007761DD">
          <w:rPr>
            <w:color w:val="0000FF" w:themeColor="hyperlink"/>
            <w:sz w:val="20"/>
            <w:szCs w:val="20"/>
            <w:u w:val="single"/>
          </w:rPr>
          <w:t>http://www.mocadsv.org/FileStream.aspx?FileID=387</w:t>
        </w:r>
      </w:hyperlink>
    </w:p>
    <w:p w14:paraId="5B650D8B" w14:textId="77777777" w:rsidR="00906A7B" w:rsidRPr="0093535E" w:rsidRDefault="00906A7B" w:rsidP="00906A7B">
      <w:pPr>
        <w:spacing w:before="0"/>
        <w:ind w:left="360" w:hanging="360"/>
        <w:rPr>
          <w:iCs/>
          <w:sz w:val="20"/>
          <w:szCs w:val="20"/>
        </w:rPr>
      </w:pPr>
      <w:proofErr w:type="spellStart"/>
      <w:r w:rsidRPr="007761DD">
        <w:rPr>
          <w:iCs/>
          <w:sz w:val="20"/>
          <w:szCs w:val="20"/>
        </w:rPr>
        <w:t>Warshaw</w:t>
      </w:r>
      <w:proofErr w:type="spellEnd"/>
      <w:r w:rsidRPr="007761DD">
        <w:rPr>
          <w:iCs/>
          <w:sz w:val="20"/>
          <w:szCs w:val="20"/>
        </w:rPr>
        <w:t xml:space="preserve">, C., Sullivan, C. M., &amp; Rivera, E. A. (2013). </w:t>
      </w:r>
      <w:r w:rsidRPr="007761DD">
        <w:rPr>
          <w:i/>
          <w:iCs/>
          <w:sz w:val="20"/>
          <w:szCs w:val="20"/>
        </w:rPr>
        <w:t>A systematic review of trauma-focused interventions for domestic violence survivors</w:t>
      </w:r>
      <w:r w:rsidRPr="007761DD">
        <w:rPr>
          <w:iCs/>
          <w:sz w:val="20"/>
          <w:szCs w:val="20"/>
        </w:rPr>
        <w:t xml:space="preserve">. National Center on Domestic Violence, Trauma &amp; Mental Health. Retrieved June 20, 2016, from </w:t>
      </w:r>
      <w:hyperlink r:id="rId14" w:history="1">
        <w:r w:rsidRPr="007761DD">
          <w:rPr>
            <w:color w:val="0000FF" w:themeColor="hyperlink"/>
            <w:sz w:val="20"/>
            <w:szCs w:val="20"/>
            <w:u w:val="single"/>
          </w:rPr>
          <w:t>http://www.nationalcenterdvtraumamh.org/wp-content/uploads/2013/03/NCDVTMH_EBPLitReview2013.pdf</w:t>
        </w:r>
      </w:hyperlink>
    </w:p>
    <w:sectPr w:rsidR="00906A7B" w:rsidRPr="0093535E" w:rsidSect="001930DA">
      <w:headerReference w:type="default" r:id="rId15"/>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881B1" w14:textId="77777777" w:rsidR="00E03232" w:rsidRDefault="00E03232" w:rsidP="00C465C1">
      <w:r>
        <w:separator/>
      </w:r>
    </w:p>
  </w:endnote>
  <w:endnote w:type="continuationSeparator" w:id="0">
    <w:p w14:paraId="47D05128" w14:textId="77777777" w:rsidR="00E03232" w:rsidRDefault="00E03232" w:rsidP="00C4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A608CB-D984-44A1-BE68-86D92187B259}"/>
    <w:embedBold r:id="rId2" w:fontKey="{566E6C3C-75DD-475F-B674-39094C860414}"/>
    <w:embedItalic r:id="rId3" w:fontKey="{C08917C5-09C3-4F6C-A419-14B837F2D45C}"/>
    <w:embedBoldItalic r:id="rId4" w:fontKey="{31ED45FB-8271-420B-B754-8D4BF4B34315}"/>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B2601531-91AC-4495-A3BF-58208E74FBBA}"/>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D9892F3C-FE85-4620-927F-C86B7EC49969}"/>
    <w:embedBoldItalic r:id="rId7" w:fontKey="{52D07F36-B2FB-4ED0-943B-70F713F5D3F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659E0" w14:textId="77777777" w:rsidR="00E03232" w:rsidRDefault="00E03232" w:rsidP="00EA3ACF">
      <w:r>
        <w:separator/>
      </w:r>
    </w:p>
  </w:footnote>
  <w:footnote w:type="continuationSeparator" w:id="0">
    <w:p w14:paraId="45C2F2F1" w14:textId="77777777" w:rsidR="00E03232" w:rsidRDefault="00E03232" w:rsidP="00C465C1">
      <w:r>
        <w:continuationSeparator/>
      </w:r>
    </w:p>
  </w:footnote>
  <w:footnote w:id="1">
    <w:p w14:paraId="06481DD9" w14:textId="77777777" w:rsidR="00A04FF6" w:rsidRPr="000A457D" w:rsidRDefault="00A04FF6" w:rsidP="00DD75BE">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17ADCBA7" w14:textId="77777777" w:rsidR="00A04FF6" w:rsidRPr="000A457D" w:rsidRDefault="00A04FF6" w:rsidP="00DD75BE">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480E59">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016A7387" w14:textId="77777777" w:rsidR="00A04FF6" w:rsidRDefault="00A04FF6" w:rsidP="00DD75BE">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6BDEBBCF" w14:textId="5E322337" w:rsidR="00A04FF6" w:rsidRPr="000A457D" w:rsidRDefault="00A04FF6" w:rsidP="00DD75BE">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proofErr w:type="spellStart"/>
      <w:r>
        <w:fldChar w:fldCharType="begin"/>
      </w:r>
      <w:r w:rsidR="003573B3">
        <w:instrText>HYPERLINK "https://www.bjs.gov/content/pub/pdf/fvs02.pdf"</w:instrText>
      </w:r>
      <w:r>
        <w:fldChar w:fldCharType="separate"/>
      </w:r>
      <w:r w:rsidRPr="00FE152F">
        <w:rPr>
          <w:rStyle w:val="Hyperlink"/>
          <w:i/>
        </w:rPr>
        <w:t>Durose</w:t>
      </w:r>
      <w:proofErr w:type="spellEnd"/>
      <w:r w:rsidRPr="00FE152F">
        <w:rPr>
          <w:rStyle w:val="Hyperlink"/>
          <w:i/>
        </w:rPr>
        <w:t xml:space="preserve"> et al., 2005</w:t>
      </w:r>
      <w:r>
        <w:rPr>
          <w:rStyle w:val="Hyperlink"/>
          <w:i/>
        </w:rPr>
        <w:fldChar w:fldCharType="end"/>
      </w:r>
      <w:r w:rsidRPr="00FE152F">
        <w:rPr>
          <w:i/>
        </w:rPr>
        <w:t>) And, women experience more chronic and injurious physical assaults by intimate partners than do men. (</w:t>
      </w:r>
      <w:proofErr w:type="spellStart"/>
      <w:r>
        <w:fldChar w:fldCharType="begin"/>
      </w:r>
      <w:r>
        <w:instrText xml:space="preserve"> HYPERLINK "https://www.ncjrs.gov/pdffiles1/nij/183781.pdf" </w:instrText>
      </w:r>
      <w:r>
        <w:fldChar w:fldCharType="separate"/>
      </w:r>
      <w:r w:rsidRPr="00FE152F">
        <w:rPr>
          <w:rStyle w:val="Hyperlink"/>
          <w:i/>
        </w:rPr>
        <w:t>Tjaden</w:t>
      </w:r>
      <w:proofErr w:type="spellEnd"/>
      <w:r w:rsidRPr="00FE152F">
        <w:rPr>
          <w:rStyle w:val="Hyperlink"/>
          <w:i/>
        </w:rPr>
        <w:t xml:space="preserve"> &amp; Thoennes, 2000</w:t>
      </w:r>
      <w:r>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AD7F620" w14:textId="72CEBC69" w:rsidR="00A04FF6" w:rsidRDefault="00A04FF6">
      <w:pPr>
        <w:pStyle w:val="FootnoteText"/>
      </w:pPr>
      <w:r>
        <w:rPr>
          <w:rStyle w:val="FootnoteReference"/>
        </w:rPr>
        <w:footnoteRef/>
      </w:r>
      <w:r>
        <w:t xml:space="preserve"> As noted in the Methodology Appendix, c</w:t>
      </w:r>
      <w:r w:rsidRPr="00162468">
        <w:t xml:space="preserve">ollecting the feedback of survivors served by </w:t>
      </w:r>
      <w:r>
        <w:t>these</w:t>
      </w:r>
      <w:r w:rsidRPr="00162468">
        <w:t xml:space="preserve"> programs was deemed by the OVW to be outside the scope of the Technical Assistance grant that generously funded this project</w:t>
      </w:r>
      <w:r>
        <w:t>, so the term "participant perspective" describes the vantage point, rather than the actual source of the information</w:t>
      </w:r>
      <w:r w:rsidRPr="00162468">
        <w:t>.</w:t>
      </w:r>
    </w:p>
  </w:footnote>
  <w:footnote w:id="4">
    <w:p w14:paraId="2A0A0DA8" w14:textId="77777777" w:rsidR="00A04FF6" w:rsidRPr="00791516" w:rsidRDefault="00A04FF6" w:rsidP="00791516">
      <w:pPr>
        <w:spacing w:before="60" w:after="0"/>
        <w:rPr>
          <w:sz w:val="20"/>
        </w:rPr>
      </w:pPr>
      <w:r w:rsidRPr="00B82A65">
        <w:rPr>
          <w:rStyle w:val="FootnoteReference"/>
          <w:sz w:val="20"/>
        </w:rPr>
        <w:footnoteRef/>
      </w:r>
      <w:r w:rsidRPr="00B82A65">
        <w:rPr>
          <w:sz w:val="20"/>
        </w:rPr>
        <w:t xml:space="preserve"> We </w:t>
      </w:r>
      <w:r>
        <w:rPr>
          <w:sz w:val="20"/>
        </w:rPr>
        <w:t>distinguish</w:t>
      </w:r>
      <w:r w:rsidRPr="00B82A65">
        <w:rPr>
          <w:sz w:val="20"/>
        </w:rPr>
        <w:t xml:space="preserve"> betw</w:t>
      </w:r>
      <w:r>
        <w:rPr>
          <w:sz w:val="20"/>
        </w:rPr>
        <w:t>een HUD regulations and state/county/</w:t>
      </w:r>
      <w:r w:rsidRPr="00B82A65">
        <w:rPr>
          <w:sz w:val="20"/>
        </w:rPr>
        <w:t xml:space="preserve">jurisdiction-specific </w:t>
      </w:r>
      <w:r>
        <w:rPr>
          <w:sz w:val="20"/>
        </w:rPr>
        <w:t>"written standards"</w:t>
      </w:r>
      <w:r w:rsidRPr="00B82A65">
        <w:rPr>
          <w:sz w:val="20"/>
        </w:rPr>
        <w:t xml:space="preserve"> -- </w:t>
      </w:r>
      <w:r>
        <w:rPr>
          <w:sz w:val="20"/>
        </w:rPr>
        <w:t>which may be</w:t>
      </w:r>
      <w:r w:rsidRPr="00B82A65">
        <w:rPr>
          <w:sz w:val="20"/>
        </w:rPr>
        <w:t xml:space="preserve"> </w:t>
      </w:r>
      <w:r>
        <w:rPr>
          <w:sz w:val="20"/>
        </w:rPr>
        <w:t>assumed</w:t>
      </w:r>
      <w:r w:rsidRPr="00B82A65">
        <w:rPr>
          <w:sz w:val="20"/>
        </w:rPr>
        <w:t xml:space="preserve"> </w:t>
      </w:r>
      <w:r>
        <w:rPr>
          <w:sz w:val="20"/>
        </w:rPr>
        <w:t>by providers to be</w:t>
      </w:r>
      <w:r w:rsidRPr="00B82A65">
        <w:rPr>
          <w:sz w:val="20"/>
        </w:rPr>
        <w:t xml:space="preserve"> HUD re</w:t>
      </w:r>
      <w:r>
        <w:rPr>
          <w:sz w:val="20"/>
        </w:rPr>
        <w:t>gulation</w:t>
      </w:r>
      <w:r w:rsidRPr="00B82A65">
        <w:rPr>
          <w:sz w:val="20"/>
        </w:rPr>
        <w:t xml:space="preserve">s -- that entities administering </w:t>
      </w:r>
      <w:r>
        <w:rPr>
          <w:sz w:val="20"/>
        </w:rPr>
        <w:t>HUD</w:t>
      </w:r>
      <w:r w:rsidRPr="00B82A65">
        <w:rPr>
          <w:sz w:val="20"/>
        </w:rPr>
        <w:t xml:space="preserve"> grants </w:t>
      </w:r>
      <w:r>
        <w:rPr>
          <w:sz w:val="20"/>
        </w:rPr>
        <w:t xml:space="preserve">must </w:t>
      </w:r>
      <w:r w:rsidRPr="00B82A65">
        <w:rPr>
          <w:sz w:val="20"/>
        </w:rPr>
        <w:t>develop</w:t>
      </w:r>
      <w:r>
        <w:rPr>
          <w:sz w:val="20"/>
        </w:rPr>
        <w:t xml:space="preserve"> (with community input) and</w:t>
      </w:r>
      <w:r w:rsidRPr="00B82A65">
        <w:rPr>
          <w:sz w:val="20"/>
        </w:rPr>
        <w:t xml:space="preserve"> </w:t>
      </w:r>
      <w:r>
        <w:rPr>
          <w:sz w:val="20"/>
        </w:rPr>
        <w:t>implement,</w:t>
      </w:r>
      <w:r w:rsidRPr="00B82A65">
        <w:rPr>
          <w:sz w:val="20"/>
        </w:rPr>
        <w:t xml:space="preserve"> governing eligibility and priority for assistance, and </w:t>
      </w:r>
      <w:r>
        <w:rPr>
          <w:sz w:val="20"/>
        </w:rPr>
        <w:t>the amount, duration, and scope of</w:t>
      </w:r>
      <w:r w:rsidRPr="00B82A65">
        <w:rPr>
          <w:sz w:val="20"/>
        </w:rPr>
        <w:t xml:space="preserve"> assistance.</w:t>
      </w:r>
    </w:p>
  </w:footnote>
  <w:footnote w:id="5">
    <w:p w14:paraId="5EBAAC50" w14:textId="57402360" w:rsidR="00A04FF6" w:rsidRDefault="00A04FF6">
      <w:pPr>
        <w:pStyle w:val="FootnoteText"/>
      </w:pPr>
      <w:r>
        <w:rPr>
          <w:rStyle w:val="FootnoteReference"/>
        </w:rPr>
        <w:footnoteRef/>
      </w:r>
      <w:r>
        <w:t xml:space="preserve"> As used in this report, the term "specialized TH program" means a traditional transitional housing program or a transition-in-place or rapid rehousing program, which may be funded by OVW, HUD, and/or other source(s); operated by a victim services provider; and targeting assistance to survivors of domestic or sexual violence.</w:t>
      </w:r>
      <w:r w:rsidR="00AE7B6E">
        <w:t xml:space="preserve"> </w:t>
      </w:r>
      <w:r>
        <w:t>Unless preceded by the word "mainstream," the term "TH program" should be assumed to refer to a "specialized TH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1FD34" w14:textId="77777777" w:rsidR="00A04FF6" w:rsidRDefault="00A04FF6">
    <w:pPr>
      <w:pStyle w:val="Header"/>
    </w:pPr>
    <w:r w:rsidRPr="0060363E">
      <w:rPr>
        <w:noProof/>
      </w:rPr>
      <mc:AlternateContent>
        <mc:Choice Requires="wpg">
          <w:drawing>
            <wp:anchor distT="0" distB="0" distL="114300" distR="114300" simplePos="0" relativeHeight="251661312" behindDoc="1" locked="1" layoutInCell="1" allowOverlap="1" wp14:anchorId="0B2EAB0F" wp14:editId="18650737">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C37E3"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764C" w14:textId="77777777" w:rsidR="00A04FF6" w:rsidRDefault="00A04FF6">
    <w:pPr>
      <w:pStyle w:val="Header"/>
    </w:pPr>
    <w:r w:rsidRPr="0060363E">
      <w:rPr>
        <w:noProof/>
      </w:rPr>
      <mc:AlternateContent>
        <mc:Choice Requires="wpg">
          <w:drawing>
            <wp:anchor distT="0" distB="0" distL="114300" distR="114300" simplePos="0" relativeHeight="251659264" behindDoc="1" locked="1" layoutInCell="1" allowOverlap="1" wp14:anchorId="35D4E0E1" wp14:editId="42C3D58E">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20A75C" id="Group 2" o:spid="_x0000_s1026" alt="Cover page background" style="position:absolute;margin-left:18pt;margin-top:18pt;width:576.7pt;height:756pt;z-index:-251657216;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7254D" w14:textId="77777777" w:rsidR="00A04FF6" w:rsidRPr="001930DA" w:rsidRDefault="00A04FF6" w:rsidP="001930DA">
    <w:pPr>
      <w:tabs>
        <w:tab w:val="center" w:pos="4680"/>
        <w:tab w:val="right" w:pos="9360"/>
      </w:tabs>
      <w:spacing w:before="0" w:after="0"/>
      <w:rPr>
        <w:rFonts w:ascii="Arial Narrow" w:hAnsi="Arial Narrow"/>
        <w:sz w:val="20"/>
      </w:rPr>
    </w:pPr>
    <w:r w:rsidRPr="001930DA">
      <w:rPr>
        <w:rFonts w:ascii="Arial Narrow" w:hAnsi="Arial Narrow"/>
        <w:sz w:val="20"/>
      </w:rPr>
      <w:t>American Institutes for Research / National Center on Family Homelessness</w:t>
    </w:r>
  </w:p>
  <w:p w14:paraId="16DEBAAA" w14:textId="77777777" w:rsidR="00A04FF6" w:rsidRPr="001930DA" w:rsidRDefault="00A04FF6" w:rsidP="001930DA">
    <w:pPr>
      <w:tabs>
        <w:tab w:val="center" w:pos="4680"/>
        <w:tab w:val="left" w:pos="9360"/>
      </w:tabs>
      <w:spacing w:before="0"/>
      <w:rPr>
        <w:rFonts w:ascii="Arial Narrow" w:hAnsi="Arial Narrow"/>
        <w:sz w:val="20"/>
      </w:rPr>
    </w:pPr>
    <w:r w:rsidRPr="001930DA">
      <w:rPr>
        <w:rFonts w:ascii="Arial Narrow" w:hAnsi="Arial Narrow"/>
        <w:b/>
        <w:i/>
        <w:sz w:val="20"/>
      </w:rPr>
      <w:t>Transitional Housing for Survivors of Domestic and Sexual Violence: A 2014-15 Snapshot</w:t>
    </w:r>
    <w:r w:rsidRPr="001930DA">
      <w:rPr>
        <w:rFonts w:ascii="Arial Narrow" w:hAnsi="Arial Narrow"/>
        <w:b/>
        <w:i/>
        <w:sz w:val="20"/>
      </w:rPr>
      <w:tab/>
    </w:r>
  </w:p>
  <w:p w14:paraId="79ABCE5E" w14:textId="6FE387A1" w:rsidR="00A04FF6" w:rsidRPr="00EA3ACF" w:rsidRDefault="00E03232" w:rsidP="00EA3ACF">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116735119"/>
        <w:docPartObj>
          <w:docPartGallery w:val="Page Numbers (Top of Page)"/>
          <w:docPartUnique/>
        </w:docPartObj>
      </w:sdtPr>
      <w:sdtEndPr/>
      <w:sdtContent>
        <w:r w:rsidR="00F26780">
          <w:rPr>
            <w:rFonts w:ascii="Arial Narrow" w:hAnsi="Arial Narrow" w:cs="Times New Roman"/>
            <w:sz w:val="20"/>
            <w:szCs w:val="24"/>
          </w:rPr>
          <w:t xml:space="preserve">Executive Summary: </w:t>
        </w:r>
        <w:r w:rsidR="00A04FF6" w:rsidRPr="001930DA">
          <w:rPr>
            <w:rFonts w:ascii="Arial Narrow" w:hAnsi="Arial Narrow" w:cs="Times New Roman"/>
            <w:sz w:val="20"/>
            <w:szCs w:val="24"/>
          </w:rPr>
          <w:t xml:space="preserve">Chapter 3: Program Housing Models - Page </w:t>
        </w:r>
        <w:r w:rsidR="00A04FF6" w:rsidRPr="001930DA">
          <w:rPr>
            <w:rFonts w:ascii="Arial Narrow" w:hAnsi="Arial Narrow" w:cs="Times New Roman"/>
            <w:sz w:val="20"/>
            <w:szCs w:val="24"/>
          </w:rPr>
          <w:fldChar w:fldCharType="begin"/>
        </w:r>
        <w:r w:rsidR="00A04FF6" w:rsidRPr="001930DA">
          <w:rPr>
            <w:rFonts w:ascii="Arial Narrow" w:hAnsi="Arial Narrow" w:cs="Times New Roman"/>
            <w:sz w:val="20"/>
            <w:szCs w:val="24"/>
          </w:rPr>
          <w:instrText xml:space="preserve"> PAGE   \* MERGEFORMAT </w:instrText>
        </w:r>
        <w:r w:rsidR="00A04FF6" w:rsidRPr="001930DA">
          <w:rPr>
            <w:rFonts w:ascii="Arial Narrow" w:hAnsi="Arial Narrow" w:cs="Times New Roman"/>
            <w:sz w:val="20"/>
            <w:szCs w:val="24"/>
          </w:rPr>
          <w:fldChar w:fldCharType="separate"/>
        </w:r>
        <w:r w:rsidR="00AE7B6E">
          <w:rPr>
            <w:rFonts w:ascii="Arial Narrow" w:hAnsi="Arial Narrow" w:cs="Times New Roman"/>
            <w:noProof/>
            <w:sz w:val="20"/>
            <w:szCs w:val="24"/>
          </w:rPr>
          <w:t>4</w:t>
        </w:r>
        <w:r w:rsidR="00A04FF6" w:rsidRPr="001930DA">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0D20"/>
    <w:multiLevelType w:val="hybridMultilevel"/>
    <w:tmpl w:val="6DE20AFA"/>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43E600A"/>
    <w:multiLevelType w:val="hybridMultilevel"/>
    <w:tmpl w:val="6F880E5E"/>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63838D3"/>
    <w:multiLevelType w:val="hybridMultilevel"/>
    <w:tmpl w:val="8E1AEBE4"/>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CB5CB6"/>
    <w:multiLevelType w:val="hybridMultilevel"/>
    <w:tmpl w:val="F130415C"/>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0B1858E4"/>
    <w:multiLevelType w:val="hybridMultilevel"/>
    <w:tmpl w:val="C8F4C60A"/>
    <w:lvl w:ilvl="0" w:tplc="71429042">
      <w:start w:val="1"/>
      <w:numFmt w:val="lowerRoman"/>
      <w:lvlText w:val="(%1)"/>
      <w:lvlJc w:val="righ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34083E"/>
    <w:multiLevelType w:val="hybridMultilevel"/>
    <w:tmpl w:val="D7AA4BE0"/>
    <w:lvl w:ilvl="0" w:tplc="0409000F">
      <w:start w:val="1"/>
      <w:numFmt w:val="decimal"/>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4325FF"/>
    <w:multiLevelType w:val="hybridMultilevel"/>
    <w:tmpl w:val="A038FCF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096B9A"/>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1820C6"/>
    <w:multiLevelType w:val="hybridMultilevel"/>
    <w:tmpl w:val="60285BF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 w15:restartNumberingAfterBreak="0">
    <w:nsid w:val="1BD45710"/>
    <w:multiLevelType w:val="hybridMultilevel"/>
    <w:tmpl w:val="60285BF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D4C41"/>
    <w:multiLevelType w:val="hybridMultilevel"/>
    <w:tmpl w:val="17AEAFDE"/>
    <w:lvl w:ilvl="0" w:tplc="BBDC841A">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750E9"/>
    <w:multiLevelType w:val="hybridMultilevel"/>
    <w:tmpl w:val="9072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2A7048E7"/>
    <w:multiLevelType w:val="hybridMultilevel"/>
    <w:tmpl w:val="F0C8B6EA"/>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A850D1"/>
    <w:multiLevelType w:val="hybridMultilevel"/>
    <w:tmpl w:val="470857C4"/>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AA3FBA"/>
    <w:multiLevelType w:val="hybridMultilevel"/>
    <w:tmpl w:val="090C61CA"/>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C508E0"/>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EC1624"/>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1F4125"/>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C100ED"/>
    <w:multiLevelType w:val="hybridMultilevel"/>
    <w:tmpl w:val="4E8CBE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3242C"/>
    <w:multiLevelType w:val="hybridMultilevel"/>
    <w:tmpl w:val="5E52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977F7F"/>
    <w:multiLevelType w:val="hybridMultilevel"/>
    <w:tmpl w:val="B4605012"/>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ED45A3"/>
    <w:multiLevelType w:val="hybridMultilevel"/>
    <w:tmpl w:val="951A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F64AE"/>
    <w:multiLevelType w:val="hybridMultilevel"/>
    <w:tmpl w:val="513E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D7927"/>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662A58"/>
    <w:multiLevelType w:val="hybridMultilevel"/>
    <w:tmpl w:val="502C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A2172"/>
    <w:multiLevelType w:val="hybridMultilevel"/>
    <w:tmpl w:val="B33A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D53861"/>
    <w:multiLevelType w:val="hybridMultilevel"/>
    <w:tmpl w:val="51C46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919070E"/>
    <w:multiLevelType w:val="hybridMultilevel"/>
    <w:tmpl w:val="A210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6780A"/>
    <w:multiLevelType w:val="hybridMultilevel"/>
    <w:tmpl w:val="D60E4ECE"/>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7211AD"/>
    <w:multiLevelType w:val="multilevel"/>
    <w:tmpl w:val="7DCEDE32"/>
    <w:lvl w:ilvl="0">
      <w:start w:val="1"/>
      <w:numFmt w:val="decimal"/>
      <w:lvlText w:val="%1."/>
      <w:lvlJc w:val="left"/>
      <w:pPr>
        <w:ind w:left="360" w:hanging="360"/>
      </w:pPr>
    </w:lvl>
    <w:lvl w:ilvl="1">
      <w:start w:val="1"/>
      <w:numFmt w:val="decimal"/>
      <w:isLgl/>
      <w:lvlText w:val="%1.%2."/>
      <w:lvlJc w:val="left"/>
      <w:pPr>
        <w:ind w:left="876" w:hanging="360"/>
      </w:pPr>
      <w:rPr>
        <w:rFonts w:hint="default"/>
        <w:u w:val="none"/>
      </w:rPr>
    </w:lvl>
    <w:lvl w:ilvl="2">
      <w:start w:val="1"/>
      <w:numFmt w:val="decimal"/>
      <w:isLgl/>
      <w:lvlText w:val="%1.%2.%3."/>
      <w:lvlJc w:val="left"/>
      <w:pPr>
        <w:ind w:left="1752" w:hanging="720"/>
      </w:pPr>
      <w:rPr>
        <w:rFonts w:hint="default"/>
        <w:u w:val="none"/>
      </w:rPr>
    </w:lvl>
    <w:lvl w:ilvl="3">
      <w:start w:val="1"/>
      <w:numFmt w:val="decimal"/>
      <w:isLgl/>
      <w:lvlText w:val="%1.%2.%3.%4."/>
      <w:lvlJc w:val="left"/>
      <w:pPr>
        <w:ind w:left="2268" w:hanging="720"/>
      </w:pPr>
      <w:rPr>
        <w:rFonts w:hint="default"/>
        <w:u w:val="none"/>
      </w:rPr>
    </w:lvl>
    <w:lvl w:ilvl="4">
      <w:start w:val="1"/>
      <w:numFmt w:val="decimal"/>
      <w:isLgl/>
      <w:lvlText w:val="%1.%2.%3.%4.%5."/>
      <w:lvlJc w:val="left"/>
      <w:pPr>
        <w:ind w:left="2784" w:hanging="720"/>
      </w:pPr>
      <w:rPr>
        <w:rFonts w:hint="default"/>
        <w:u w:val="none"/>
      </w:rPr>
    </w:lvl>
    <w:lvl w:ilvl="5">
      <w:start w:val="1"/>
      <w:numFmt w:val="decimal"/>
      <w:isLgl/>
      <w:lvlText w:val="%1.%2.%3.%4.%5.%6."/>
      <w:lvlJc w:val="left"/>
      <w:pPr>
        <w:ind w:left="3660" w:hanging="1080"/>
      </w:pPr>
      <w:rPr>
        <w:rFonts w:hint="default"/>
        <w:u w:val="none"/>
      </w:rPr>
    </w:lvl>
    <w:lvl w:ilvl="6">
      <w:start w:val="1"/>
      <w:numFmt w:val="decimal"/>
      <w:isLgl/>
      <w:lvlText w:val="%1.%2.%3.%4.%5.%6.%7."/>
      <w:lvlJc w:val="left"/>
      <w:pPr>
        <w:ind w:left="4176" w:hanging="1080"/>
      </w:pPr>
      <w:rPr>
        <w:rFonts w:hint="default"/>
        <w:u w:val="none"/>
      </w:rPr>
    </w:lvl>
    <w:lvl w:ilvl="7">
      <w:start w:val="1"/>
      <w:numFmt w:val="decimal"/>
      <w:isLgl/>
      <w:lvlText w:val="%1.%2.%3.%4.%5.%6.%7.%8."/>
      <w:lvlJc w:val="left"/>
      <w:pPr>
        <w:ind w:left="4692" w:hanging="1080"/>
      </w:pPr>
      <w:rPr>
        <w:rFonts w:hint="default"/>
        <w:u w:val="none"/>
      </w:rPr>
    </w:lvl>
    <w:lvl w:ilvl="8">
      <w:start w:val="1"/>
      <w:numFmt w:val="decimal"/>
      <w:isLgl/>
      <w:lvlText w:val="%1.%2.%3.%4.%5.%6.%7.%8.%9."/>
      <w:lvlJc w:val="left"/>
      <w:pPr>
        <w:ind w:left="5568" w:hanging="1440"/>
      </w:pPr>
      <w:rPr>
        <w:rFonts w:hint="default"/>
        <w:u w:val="none"/>
      </w:rPr>
    </w:lvl>
  </w:abstractNum>
  <w:abstractNum w:abstractNumId="35" w15:restartNumberingAfterBreak="0">
    <w:nsid w:val="4FE37F32"/>
    <w:multiLevelType w:val="hybridMultilevel"/>
    <w:tmpl w:val="F89AC566"/>
    <w:lvl w:ilvl="0" w:tplc="1D92EDDC">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CA5365"/>
    <w:multiLevelType w:val="hybridMultilevel"/>
    <w:tmpl w:val="FE489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2FC4A94"/>
    <w:multiLevelType w:val="hybridMultilevel"/>
    <w:tmpl w:val="26C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BB6A9B"/>
    <w:multiLevelType w:val="hybridMultilevel"/>
    <w:tmpl w:val="FD66FA42"/>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215926"/>
    <w:multiLevelType w:val="hybridMultilevel"/>
    <w:tmpl w:val="A3C64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301590B"/>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32260CC"/>
    <w:multiLevelType w:val="hybridMultilevel"/>
    <w:tmpl w:val="5FF8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414F8"/>
    <w:multiLevelType w:val="hybridMultilevel"/>
    <w:tmpl w:val="520AAC4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CF7AE9"/>
    <w:multiLevelType w:val="hybridMultilevel"/>
    <w:tmpl w:val="F948021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4" w15:restartNumberingAfterBreak="0">
    <w:nsid w:val="66C565FE"/>
    <w:multiLevelType w:val="hybridMultilevel"/>
    <w:tmpl w:val="03567AFE"/>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D4475A"/>
    <w:multiLevelType w:val="hybridMultilevel"/>
    <w:tmpl w:val="31A037FA"/>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6" w15:restartNumberingAfterBreak="0">
    <w:nsid w:val="6A8669F5"/>
    <w:multiLevelType w:val="hybridMultilevel"/>
    <w:tmpl w:val="2C8A2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BF5DA5"/>
    <w:multiLevelType w:val="hybridMultilevel"/>
    <w:tmpl w:val="A07EAE10"/>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8"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E645334"/>
    <w:multiLevelType w:val="hybridMultilevel"/>
    <w:tmpl w:val="7DB407D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0" w15:restartNumberingAfterBreak="0">
    <w:nsid w:val="6E840EF1"/>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14113E4"/>
    <w:multiLevelType w:val="hybridMultilevel"/>
    <w:tmpl w:val="8F565778"/>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2" w15:restartNumberingAfterBreak="0">
    <w:nsid w:val="789A04C5"/>
    <w:multiLevelType w:val="hybridMultilevel"/>
    <w:tmpl w:val="6226DD6A"/>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B2631F5"/>
    <w:multiLevelType w:val="hybridMultilevel"/>
    <w:tmpl w:val="781A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85691D"/>
    <w:multiLevelType w:val="hybridMultilevel"/>
    <w:tmpl w:val="993E7ACC"/>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5" w15:restartNumberingAfterBreak="0">
    <w:nsid w:val="7FAA016B"/>
    <w:multiLevelType w:val="hybridMultilevel"/>
    <w:tmpl w:val="F40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54"/>
  </w:num>
  <w:num w:numId="3">
    <w:abstractNumId w:val="27"/>
  </w:num>
  <w:num w:numId="4">
    <w:abstractNumId w:val="47"/>
  </w:num>
  <w:num w:numId="5">
    <w:abstractNumId w:val="51"/>
  </w:num>
  <w:num w:numId="6">
    <w:abstractNumId w:val="49"/>
  </w:num>
  <w:num w:numId="7">
    <w:abstractNumId w:val="12"/>
  </w:num>
  <w:num w:numId="8">
    <w:abstractNumId w:val="53"/>
  </w:num>
  <w:num w:numId="9">
    <w:abstractNumId w:val="18"/>
  </w:num>
  <w:num w:numId="10">
    <w:abstractNumId w:val="28"/>
  </w:num>
  <w:num w:numId="11">
    <w:abstractNumId w:val="40"/>
  </w:num>
  <w:num w:numId="12">
    <w:abstractNumId w:val="17"/>
  </w:num>
  <w:num w:numId="13">
    <w:abstractNumId w:val="36"/>
  </w:num>
  <w:num w:numId="14">
    <w:abstractNumId w:val="43"/>
  </w:num>
  <w:num w:numId="15">
    <w:abstractNumId w:val="25"/>
  </w:num>
  <w:num w:numId="16">
    <w:abstractNumId w:val="50"/>
  </w:num>
  <w:num w:numId="17">
    <w:abstractNumId w:val="19"/>
  </w:num>
  <w:num w:numId="18">
    <w:abstractNumId w:val="39"/>
  </w:num>
  <w:num w:numId="19">
    <w:abstractNumId w:val="7"/>
  </w:num>
  <w:num w:numId="20">
    <w:abstractNumId w:val="23"/>
  </w:num>
  <w:num w:numId="21">
    <w:abstractNumId w:val="55"/>
  </w:num>
  <w:num w:numId="22">
    <w:abstractNumId w:val="14"/>
  </w:num>
  <w:num w:numId="23">
    <w:abstractNumId w:val="52"/>
  </w:num>
  <w:num w:numId="24">
    <w:abstractNumId w:val="45"/>
  </w:num>
  <w:num w:numId="25">
    <w:abstractNumId w:val="33"/>
  </w:num>
  <w:num w:numId="26">
    <w:abstractNumId w:val="37"/>
  </w:num>
  <w:num w:numId="27">
    <w:abstractNumId w:val="42"/>
  </w:num>
  <w:num w:numId="28">
    <w:abstractNumId w:val="38"/>
  </w:num>
  <w:num w:numId="29">
    <w:abstractNumId w:val="46"/>
  </w:num>
  <w:num w:numId="30">
    <w:abstractNumId w:val="16"/>
  </w:num>
  <w:num w:numId="31">
    <w:abstractNumId w:val="10"/>
  </w:num>
  <w:num w:numId="32">
    <w:abstractNumId w:val="32"/>
  </w:num>
  <w:num w:numId="33">
    <w:abstractNumId w:val="15"/>
  </w:num>
  <w:num w:numId="34">
    <w:abstractNumId w:val="8"/>
  </w:num>
  <w:num w:numId="35">
    <w:abstractNumId w:val="3"/>
  </w:num>
  <w:num w:numId="36">
    <w:abstractNumId w:val="2"/>
  </w:num>
  <w:num w:numId="37">
    <w:abstractNumId w:val="4"/>
  </w:num>
  <w:num w:numId="38">
    <w:abstractNumId w:val="22"/>
  </w:num>
  <w:num w:numId="39">
    <w:abstractNumId w:val="35"/>
  </w:num>
  <w:num w:numId="40">
    <w:abstractNumId w:val="0"/>
  </w:num>
  <w:num w:numId="41">
    <w:abstractNumId w:val="44"/>
  </w:num>
  <w:num w:numId="42">
    <w:abstractNumId w:val="11"/>
  </w:num>
  <w:num w:numId="43">
    <w:abstractNumId w:val="6"/>
  </w:num>
  <w:num w:numId="44">
    <w:abstractNumId w:val="48"/>
  </w:num>
  <w:num w:numId="45">
    <w:abstractNumId w:val="21"/>
  </w:num>
  <w:num w:numId="46">
    <w:abstractNumId w:val="20"/>
  </w:num>
  <w:num w:numId="47">
    <w:abstractNumId w:val="26"/>
  </w:num>
  <w:num w:numId="48">
    <w:abstractNumId w:val="29"/>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31"/>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34"/>
  </w:num>
  <w:num w:numId="55">
    <w:abstractNumId w:val="1"/>
  </w:num>
  <w:num w:numId="56">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0B6"/>
    <w:rsid w:val="000027DD"/>
    <w:rsid w:val="00004C12"/>
    <w:rsid w:val="0000517C"/>
    <w:rsid w:val="00005597"/>
    <w:rsid w:val="0000608E"/>
    <w:rsid w:val="000100A1"/>
    <w:rsid w:val="000113E4"/>
    <w:rsid w:val="0001321D"/>
    <w:rsid w:val="0001501B"/>
    <w:rsid w:val="0001514A"/>
    <w:rsid w:val="00016183"/>
    <w:rsid w:val="0002002E"/>
    <w:rsid w:val="00020A30"/>
    <w:rsid w:val="000224F5"/>
    <w:rsid w:val="00022605"/>
    <w:rsid w:val="00024FA2"/>
    <w:rsid w:val="00030B67"/>
    <w:rsid w:val="000348CB"/>
    <w:rsid w:val="000351A5"/>
    <w:rsid w:val="00035C1C"/>
    <w:rsid w:val="000371F8"/>
    <w:rsid w:val="00040404"/>
    <w:rsid w:val="00040AFC"/>
    <w:rsid w:val="00041068"/>
    <w:rsid w:val="00041343"/>
    <w:rsid w:val="00041ED6"/>
    <w:rsid w:val="00042021"/>
    <w:rsid w:val="000437B4"/>
    <w:rsid w:val="000446CE"/>
    <w:rsid w:val="0004493B"/>
    <w:rsid w:val="00047F2C"/>
    <w:rsid w:val="00054CFD"/>
    <w:rsid w:val="00055BD2"/>
    <w:rsid w:val="000569DE"/>
    <w:rsid w:val="00056B1F"/>
    <w:rsid w:val="00057C17"/>
    <w:rsid w:val="00060DAF"/>
    <w:rsid w:val="000612C6"/>
    <w:rsid w:val="0006310B"/>
    <w:rsid w:val="000633D2"/>
    <w:rsid w:val="000634B8"/>
    <w:rsid w:val="00063AEC"/>
    <w:rsid w:val="00065451"/>
    <w:rsid w:val="000655A3"/>
    <w:rsid w:val="00065D5E"/>
    <w:rsid w:val="00067392"/>
    <w:rsid w:val="000676B9"/>
    <w:rsid w:val="00072FB5"/>
    <w:rsid w:val="00076AB6"/>
    <w:rsid w:val="000817CD"/>
    <w:rsid w:val="000824CC"/>
    <w:rsid w:val="00082E39"/>
    <w:rsid w:val="00083EBC"/>
    <w:rsid w:val="00083EF0"/>
    <w:rsid w:val="00084A13"/>
    <w:rsid w:val="00086C69"/>
    <w:rsid w:val="00087A4B"/>
    <w:rsid w:val="000923F2"/>
    <w:rsid w:val="000929EC"/>
    <w:rsid w:val="00092D26"/>
    <w:rsid w:val="000937C7"/>
    <w:rsid w:val="00094768"/>
    <w:rsid w:val="000958AB"/>
    <w:rsid w:val="00096726"/>
    <w:rsid w:val="00096D6E"/>
    <w:rsid w:val="00097458"/>
    <w:rsid w:val="000A0EAA"/>
    <w:rsid w:val="000A0F4E"/>
    <w:rsid w:val="000A3B7A"/>
    <w:rsid w:val="000A578F"/>
    <w:rsid w:val="000B1EAE"/>
    <w:rsid w:val="000B5D77"/>
    <w:rsid w:val="000C1925"/>
    <w:rsid w:val="000C29CE"/>
    <w:rsid w:val="000C372C"/>
    <w:rsid w:val="000C42B5"/>
    <w:rsid w:val="000C6F28"/>
    <w:rsid w:val="000D093D"/>
    <w:rsid w:val="000D3756"/>
    <w:rsid w:val="000D3BA6"/>
    <w:rsid w:val="000D7EAB"/>
    <w:rsid w:val="000E03C3"/>
    <w:rsid w:val="000E0692"/>
    <w:rsid w:val="000E23F0"/>
    <w:rsid w:val="000E2A13"/>
    <w:rsid w:val="000E5D22"/>
    <w:rsid w:val="000E675D"/>
    <w:rsid w:val="000F1906"/>
    <w:rsid w:val="000F4146"/>
    <w:rsid w:val="000F535C"/>
    <w:rsid w:val="000F6B64"/>
    <w:rsid w:val="001004A8"/>
    <w:rsid w:val="001005EC"/>
    <w:rsid w:val="00102354"/>
    <w:rsid w:val="001041EA"/>
    <w:rsid w:val="00110225"/>
    <w:rsid w:val="00110691"/>
    <w:rsid w:val="00112D0B"/>
    <w:rsid w:val="001154AC"/>
    <w:rsid w:val="00116341"/>
    <w:rsid w:val="00116C79"/>
    <w:rsid w:val="00117F10"/>
    <w:rsid w:val="0012359D"/>
    <w:rsid w:val="001303F9"/>
    <w:rsid w:val="0013198D"/>
    <w:rsid w:val="00131E46"/>
    <w:rsid w:val="0013482A"/>
    <w:rsid w:val="0013634D"/>
    <w:rsid w:val="00137819"/>
    <w:rsid w:val="00140392"/>
    <w:rsid w:val="00141EBA"/>
    <w:rsid w:val="0014207F"/>
    <w:rsid w:val="0014289A"/>
    <w:rsid w:val="00142BFD"/>
    <w:rsid w:val="00146878"/>
    <w:rsid w:val="001512B9"/>
    <w:rsid w:val="00151F4B"/>
    <w:rsid w:val="00154EED"/>
    <w:rsid w:val="00156649"/>
    <w:rsid w:val="00156DA2"/>
    <w:rsid w:val="00157984"/>
    <w:rsid w:val="00157CAC"/>
    <w:rsid w:val="001613C2"/>
    <w:rsid w:val="0016142D"/>
    <w:rsid w:val="00161A13"/>
    <w:rsid w:val="00161C4F"/>
    <w:rsid w:val="00162468"/>
    <w:rsid w:val="0016525F"/>
    <w:rsid w:val="00166852"/>
    <w:rsid w:val="001706F0"/>
    <w:rsid w:val="00170971"/>
    <w:rsid w:val="00170C98"/>
    <w:rsid w:val="0017126C"/>
    <w:rsid w:val="00171741"/>
    <w:rsid w:val="00172172"/>
    <w:rsid w:val="00173CEF"/>
    <w:rsid w:val="00177276"/>
    <w:rsid w:val="001800FE"/>
    <w:rsid w:val="0018098F"/>
    <w:rsid w:val="001817DE"/>
    <w:rsid w:val="00181A6D"/>
    <w:rsid w:val="00181D21"/>
    <w:rsid w:val="00184502"/>
    <w:rsid w:val="0018481C"/>
    <w:rsid w:val="0019053B"/>
    <w:rsid w:val="0019123A"/>
    <w:rsid w:val="00192DCC"/>
    <w:rsid w:val="001930DA"/>
    <w:rsid w:val="00193379"/>
    <w:rsid w:val="001A1FD2"/>
    <w:rsid w:val="001A4297"/>
    <w:rsid w:val="001A5AF7"/>
    <w:rsid w:val="001A6A02"/>
    <w:rsid w:val="001A7382"/>
    <w:rsid w:val="001B04BB"/>
    <w:rsid w:val="001B530D"/>
    <w:rsid w:val="001B768B"/>
    <w:rsid w:val="001C0A44"/>
    <w:rsid w:val="001C20EC"/>
    <w:rsid w:val="001C2FD8"/>
    <w:rsid w:val="001C3928"/>
    <w:rsid w:val="001C6AB1"/>
    <w:rsid w:val="001D06FF"/>
    <w:rsid w:val="001D226E"/>
    <w:rsid w:val="001D4AC1"/>
    <w:rsid w:val="001D6AB3"/>
    <w:rsid w:val="001D6CA3"/>
    <w:rsid w:val="001E0F3C"/>
    <w:rsid w:val="001E1010"/>
    <w:rsid w:val="001F0239"/>
    <w:rsid w:val="001F140C"/>
    <w:rsid w:val="001F1A70"/>
    <w:rsid w:val="001F1EF0"/>
    <w:rsid w:val="001F2CED"/>
    <w:rsid w:val="001F336A"/>
    <w:rsid w:val="001F5220"/>
    <w:rsid w:val="001F5B6B"/>
    <w:rsid w:val="001F6F33"/>
    <w:rsid w:val="001F7982"/>
    <w:rsid w:val="00203557"/>
    <w:rsid w:val="002077FD"/>
    <w:rsid w:val="00210425"/>
    <w:rsid w:val="00210BA7"/>
    <w:rsid w:val="00211044"/>
    <w:rsid w:val="00212096"/>
    <w:rsid w:val="00212FFB"/>
    <w:rsid w:val="00213027"/>
    <w:rsid w:val="0022162C"/>
    <w:rsid w:val="002219E3"/>
    <w:rsid w:val="00222D8F"/>
    <w:rsid w:val="00226831"/>
    <w:rsid w:val="002278FE"/>
    <w:rsid w:val="0023005D"/>
    <w:rsid w:val="002307E8"/>
    <w:rsid w:val="002310BF"/>
    <w:rsid w:val="00232649"/>
    <w:rsid w:val="00232A92"/>
    <w:rsid w:val="00232C6C"/>
    <w:rsid w:val="00236E51"/>
    <w:rsid w:val="0023705C"/>
    <w:rsid w:val="002415FD"/>
    <w:rsid w:val="00246B7C"/>
    <w:rsid w:val="00251475"/>
    <w:rsid w:val="00254577"/>
    <w:rsid w:val="00255ED3"/>
    <w:rsid w:val="00261A55"/>
    <w:rsid w:val="00266AE3"/>
    <w:rsid w:val="002717FD"/>
    <w:rsid w:val="00274AAB"/>
    <w:rsid w:val="00280638"/>
    <w:rsid w:val="00280725"/>
    <w:rsid w:val="00281CDB"/>
    <w:rsid w:val="00283368"/>
    <w:rsid w:val="00285573"/>
    <w:rsid w:val="00285A53"/>
    <w:rsid w:val="00286991"/>
    <w:rsid w:val="00292EE2"/>
    <w:rsid w:val="00296337"/>
    <w:rsid w:val="00296D9B"/>
    <w:rsid w:val="00296E0F"/>
    <w:rsid w:val="00297175"/>
    <w:rsid w:val="00297584"/>
    <w:rsid w:val="002A17DF"/>
    <w:rsid w:val="002A1FE7"/>
    <w:rsid w:val="002A2F68"/>
    <w:rsid w:val="002A3FB6"/>
    <w:rsid w:val="002A4421"/>
    <w:rsid w:val="002A48D1"/>
    <w:rsid w:val="002A5D6F"/>
    <w:rsid w:val="002B1939"/>
    <w:rsid w:val="002B514C"/>
    <w:rsid w:val="002B7027"/>
    <w:rsid w:val="002B795F"/>
    <w:rsid w:val="002B7E4A"/>
    <w:rsid w:val="002C1E9B"/>
    <w:rsid w:val="002C37F8"/>
    <w:rsid w:val="002C504F"/>
    <w:rsid w:val="002D0DC4"/>
    <w:rsid w:val="002D7482"/>
    <w:rsid w:val="002D79BB"/>
    <w:rsid w:val="002E0A8B"/>
    <w:rsid w:val="002E4056"/>
    <w:rsid w:val="002E5138"/>
    <w:rsid w:val="002E60D8"/>
    <w:rsid w:val="002E7C56"/>
    <w:rsid w:val="002F432B"/>
    <w:rsid w:val="002F4BD4"/>
    <w:rsid w:val="002F5382"/>
    <w:rsid w:val="00300C23"/>
    <w:rsid w:val="00301881"/>
    <w:rsid w:val="00302615"/>
    <w:rsid w:val="00303784"/>
    <w:rsid w:val="00304518"/>
    <w:rsid w:val="00304900"/>
    <w:rsid w:val="00306335"/>
    <w:rsid w:val="003066AA"/>
    <w:rsid w:val="00311FF6"/>
    <w:rsid w:val="00312689"/>
    <w:rsid w:val="003143BB"/>
    <w:rsid w:val="003147AE"/>
    <w:rsid w:val="0031489B"/>
    <w:rsid w:val="00316930"/>
    <w:rsid w:val="00317C4D"/>
    <w:rsid w:val="003207AC"/>
    <w:rsid w:val="00324FC6"/>
    <w:rsid w:val="00325ACC"/>
    <w:rsid w:val="00331ADA"/>
    <w:rsid w:val="00332120"/>
    <w:rsid w:val="0033328E"/>
    <w:rsid w:val="00336218"/>
    <w:rsid w:val="003378A9"/>
    <w:rsid w:val="00337C2D"/>
    <w:rsid w:val="00340391"/>
    <w:rsid w:val="00341C14"/>
    <w:rsid w:val="00342DEA"/>
    <w:rsid w:val="0034344D"/>
    <w:rsid w:val="00350085"/>
    <w:rsid w:val="00351379"/>
    <w:rsid w:val="00352FB9"/>
    <w:rsid w:val="00353092"/>
    <w:rsid w:val="003542A9"/>
    <w:rsid w:val="003573B3"/>
    <w:rsid w:val="00360F81"/>
    <w:rsid w:val="00362B3E"/>
    <w:rsid w:val="00362DEC"/>
    <w:rsid w:val="003655F2"/>
    <w:rsid w:val="00365BF9"/>
    <w:rsid w:val="00365DB4"/>
    <w:rsid w:val="00370414"/>
    <w:rsid w:val="003717A0"/>
    <w:rsid w:val="003729DA"/>
    <w:rsid w:val="003742B1"/>
    <w:rsid w:val="003763AE"/>
    <w:rsid w:val="00376C37"/>
    <w:rsid w:val="00376FCD"/>
    <w:rsid w:val="00380047"/>
    <w:rsid w:val="00381EE7"/>
    <w:rsid w:val="003828A5"/>
    <w:rsid w:val="00382981"/>
    <w:rsid w:val="00387846"/>
    <w:rsid w:val="0039644E"/>
    <w:rsid w:val="003A1A99"/>
    <w:rsid w:val="003A22BF"/>
    <w:rsid w:val="003A2779"/>
    <w:rsid w:val="003A6A9B"/>
    <w:rsid w:val="003A6E8C"/>
    <w:rsid w:val="003B0807"/>
    <w:rsid w:val="003B3D33"/>
    <w:rsid w:val="003B651A"/>
    <w:rsid w:val="003B7E26"/>
    <w:rsid w:val="003C2301"/>
    <w:rsid w:val="003C59E2"/>
    <w:rsid w:val="003C73F5"/>
    <w:rsid w:val="003D00B5"/>
    <w:rsid w:val="003D01BA"/>
    <w:rsid w:val="003D0914"/>
    <w:rsid w:val="003D3EB9"/>
    <w:rsid w:val="003D7647"/>
    <w:rsid w:val="003D7F64"/>
    <w:rsid w:val="003E13FC"/>
    <w:rsid w:val="003E3015"/>
    <w:rsid w:val="003E5DFF"/>
    <w:rsid w:val="003E6BEE"/>
    <w:rsid w:val="003E7144"/>
    <w:rsid w:val="003F3175"/>
    <w:rsid w:val="003F4933"/>
    <w:rsid w:val="003F4954"/>
    <w:rsid w:val="003F5C1C"/>
    <w:rsid w:val="003F6167"/>
    <w:rsid w:val="003F6BF8"/>
    <w:rsid w:val="00404C01"/>
    <w:rsid w:val="00405E1B"/>
    <w:rsid w:val="00407D64"/>
    <w:rsid w:val="00410FE7"/>
    <w:rsid w:val="004227F2"/>
    <w:rsid w:val="004245BE"/>
    <w:rsid w:val="00426916"/>
    <w:rsid w:val="00430CAC"/>
    <w:rsid w:val="0043303C"/>
    <w:rsid w:val="00433D15"/>
    <w:rsid w:val="00436CE9"/>
    <w:rsid w:val="004375A6"/>
    <w:rsid w:val="00441565"/>
    <w:rsid w:val="00444C5C"/>
    <w:rsid w:val="004539B1"/>
    <w:rsid w:val="00462B95"/>
    <w:rsid w:val="004640F8"/>
    <w:rsid w:val="00472188"/>
    <w:rsid w:val="00480E59"/>
    <w:rsid w:val="004818A8"/>
    <w:rsid w:val="004823FF"/>
    <w:rsid w:val="00482885"/>
    <w:rsid w:val="00484C88"/>
    <w:rsid w:val="00486A33"/>
    <w:rsid w:val="00487292"/>
    <w:rsid w:val="004903F5"/>
    <w:rsid w:val="004909ED"/>
    <w:rsid w:val="00491D77"/>
    <w:rsid w:val="00493B99"/>
    <w:rsid w:val="00494652"/>
    <w:rsid w:val="004946ED"/>
    <w:rsid w:val="004957C3"/>
    <w:rsid w:val="004960E3"/>
    <w:rsid w:val="004A00A6"/>
    <w:rsid w:val="004A1446"/>
    <w:rsid w:val="004A5CAF"/>
    <w:rsid w:val="004A5FB7"/>
    <w:rsid w:val="004A64A1"/>
    <w:rsid w:val="004A7D56"/>
    <w:rsid w:val="004B1C2F"/>
    <w:rsid w:val="004B2F46"/>
    <w:rsid w:val="004B3C1A"/>
    <w:rsid w:val="004B400B"/>
    <w:rsid w:val="004C1734"/>
    <w:rsid w:val="004C1D4F"/>
    <w:rsid w:val="004C40B2"/>
    <w:rsid w:val="004C44EA"/>
    <w:rsid w:val="004D1B8F"/>
    <w:rsid w:val="004D46C2"/>
    <w:rsid w:val="004D5725"/>
    <w:rsid w:val="004E211E"/>
    <w:rsid w:val="004E2A64"/>
    <w:rsid w:val="004E391E"/>
    <w:rsid w:val="004E636B"/>
    <w:rsid w:val="004E6470"/>
    <w:rsid w:val="004F5BBF"/>
    <w:rsid w:val="005015EB"/>
    <w:rsid w:val="005126FD"/>
    <w:rsid w:val="00513054"/>
    <w:rsid w:val="005162E2"/>
    <w:rsid w:val="005221F1"/>
    <w:rsid w:val="005239C9"/>
    <w:rsid w:val="00523AA7"/>
    <w:rsid w:val="00525016"/>
    <w:rsid w:val="00525C91"/>
    <w:rsid w:val="00526739"/>
    <w:rsid w:val="005267D9"/>
    <w:rsid w:val="005268C1"/>
    <w:rsid w:val="00530482"/>
    <w:rsid w:val="0053262B"/>
    <w:rsid w:val="0053345A"/>
    <w:rsid w:val="00536257"/>
    <w:rsid w:val="005369AF"/>
    <w:rsid w:val="0053757E"/>
    <w:rsid w:val="00540897"/>
    <w:rsid w:val="00540B8A"/>
    <w:rsid w:val="005431E1"/>
    <w:rsid w:val="00544166"/>
    <w:rsid w:val="0054482A"/>
    <w:rsid w:val="00550BA9"/>
    <w:rsid w:val="00552102"/>
    <w:rsid w:val="0055557B"/>
    <w:rsid w:val="005557E6"/>
    <w:rsid w:val="00557EBC"/>
    <w:rsid w:val="00560D6E"/>
    <w:rsid w:val="00563C18"/>
    <w:rsid w:val="00566D3E"/>
    <w:rsid w:val="00567052"/>
    <w:rsid w:val="005672E1"/>
    <w:rsid w:val="005708B7"/>
    <w:rsid w:val="00571E0A"/>
    <w:rsid w:val="00572511"/>
    <w:rsid w:val="005728F6"/>
    <w:rsid w:val="00573E4E"/>
    <w:rsid w:val="00576871"/>
    <w:rsid w:val="00577358"/>
    <w:rsid w:val="005807F4"/>
    <w:rsid w:val="005811EE"/>
    <w:rsid w:val="00586CAF"/>
    <w:rsid w:val="0059030A"/>
    <w:rsid w:val="005917BD"/>
    <w:rsid w:val="005953E1"/>
    <w:rsid w:val="005967C5"/>
    <w:rsid w:val="00596FA1"/>
    <w:rsid w:val="005A0AAF"/>
    <w:rsid w:val="005A1D16"/>
    <w:rsid w:val="005A3C2F"/>
    <w:rsid w:val="005A4029"/>
    <w:rsid w:val="005A65BC"/>
    <w:rsid w:val="005A66D5"/>
    <w:rsid w:val="005A6B7D"/>
    <w:rsid w:val="005B133D"/>
    <w:rsid w:val="005B1B56"/>
    <w:rsid w:val="005B1C60"/>
    <w:rsid w:val="005B25A6"/>
    <w:rsid w:val="005B2B65"/>
    <w:rsid w:val="005B421C"/>
    <w:rsid w:val="005B4A86"/>
    <w:rsid w:val="005C0B5C"/>
    <w:rsid w:val="005C176C"/>
    <w:rsid w:val="005C37BA"/>
    <w:rsid w:val="005C48D2"/>
    <w:rsid w:val="005C4C94"/>
    <w:rsid w:val="005C5559"/>
    <w:rsid w:val="005C640C"/>
    <w:rsid w:val="005C736B"/>
    <w:rsid w:val="005C7EC3"/>
    <w:rsid w:val="005D0561"/>
    <w:rsid w:val="005D1590"/>
    <w:rsid w:val="005D23DE"/>
    <w:rsid w:val="005D32C6"/>
    <w:rsid w:val="005D465C"/>
    <w:rsid w:val="005D5708"/>
    <w:rsid w:val="005D66A4"/>
    <w:rsid w:val="005D7D97"/>
    <w:rsid w:val="005E0B05"/>
    <w:rsid w:val="005E1D86"/>
    <w:rsid w:val="005E2EC3"/>
    <w:rsid w:val="005E5355"/>
    <w:rsid w:val="005E5A79"/>
    <w:rsid w:val="005E5D12"/>
    <w:rsid w:val="005E69A3"/>
    <w:rsid w:val="005E77A2"/>
    <w:rsid w:val="005F03C8"/>
    <w:rsid w:val="005F0DB8"/>
    <w:rsid w:val="005F3127"/>
    <w:rsid w:val="005F6785"/>
    <w:rsid w:val="005F6ADB"/>
    <w:rsid w:val="005F7346"/>
    <w:rsid w:val="005F7C97"/>
    <w:rsid w:val="006010AE"/>
    <w:rsid w:val="006015DA"/>
    <w:rsid w:val="00601ABF"/>
    <w:rsid w:val="006066F5"/>
    <w:rsid w:val="00607172"/>
    <w:rsid w:val="00611D1B"/>
    <w:rsid w:val="0061643D"/>
    <w:rsid w:val="0061682C"/>
    <w:rsid w:val="00621DF9"/>
    <w:rsid w:val="00622420"/>
    <w:rsid w:val="006225CD"/>
    <w:rsid w:val="00625C20"/>
    <w:rsid w:val="006262C9"/>
    <w:rsid w:val="00630B04"/>
    <w:rsid w:val="00632D50"/>
    <w:rsid w:val="00632DD8"/>
    <w:rsid w:val="006362A2"/>
    <w:rsid w:val="006370B7"/>
    <w:rsid w:val="00640F6D"/>
    <w:rsid w:val="00641A2C"/>
    <w:rsid w:val="00642378"/>
    <w:rsid w:val="00643340"/>
    <w:rsid w:val="00647C44"/>
    <w:rsid w:val="0065064F"/>
    <w:rsid w:val="00650788"/>
    <w:rsid w:val="00651AF9"/>
    <w:rsid w:val="00652134"/>
    <w:rsid w:val="00653454"/>
    <w:rsid w:val="006535AD"/>
    <w:rsid w:val="006622B0"/>
    <w:rsid w:val="00663434"/>
    <w:rsid w:val="00666B29"/>
    <w:rsid w:val="00674EB3"/>
    <w:rsid w:val="006763A3"/>
    <w:rsid w:val="006777A3"/>
    <w:rsid w:val="00681046"/>
    <w:rsid w:val="0068167F"/>
    <w:rsid w:val="00681C73"/>
    <w:rsid w:val="00682BA7"/>
    <w:rsid w:val="00685BCF"/>
    <w:rsid w:val="006906FD"/>
    <w:rsid w:val="00691C9E"/>
    <w:rsid w:val="00693482"/>
    <w:rsid w:val="00694B64"/>
    <w:rsid w:val="006972D3"/>
    <w:rsid w:val="006975F2"/>
    <w:rsid w:val="006A0683"/>
    <w:rsid w:val="006A28E1"/>
    <w:rsid w:val="006A29B6"/>
    <w:rsid w:val="006A316D"/>
    <w:rsid w:val="006A3385"/>
    <w:rsid w:val="006A634B"/>
    <w:rsid w:val="006A7399"/>
    <w:rsid w:val="006B00F5"/>
    <w:rsid w:val="006B1FD3"/>
    <w:rsid w:val="006B2BA6"/>
    <w:rsid w:val="006B5711"/>
    <w:rsid w:val="006B6AD9"/>
    <w:rsid w:val="006C0C74"/>
    <w:rsid w:val="006C180E"/>
    <w:rsid w:val="006C2B26"/>
    <w:rsid w:val="006C2CDE"/>
    <w:rsid w:val="006C7DF9"/>
    <w:rsid w:val="006D1C79"/>
    <w:rsid w:val="006D3369"/>
    <w:rsid w:val="006D3A2B"/>
    <w:rsid w:val="006D4494"/>
    <w:rsid w:val="006D554C"/>
    <w:rsid w:val="006E17D1"/>
    <w:rsid w:val="006E222E"/>
    <w:rsid w:val="006E3CD9"/>
    <w:rsid w:val="006E3FAC"/>
    <w:rsid w:val="006E6830"/>
    <w:rsid w:val="006F083A"/>
    <w:rsid w:val="006F34EF"/>
    <w:rsid w:val="006F3A81"/>
    <w:rsid w:val="00702973"/>
    <w:rsid w:val="00702A8A"/>
    <w:rsid w:val="00704043"/>
    <w:rsid w:val="007048DE"/>
    <w:rsid w:val="00704D36"/>
    <w:rsid w:val="00706464"/>
    <w:rsid w:val="00712313"/>
    <w:rsid w:val="0071357E"/>
    <w:rsid w:val="00716BB9"/>
    <w:rsid w:val="007204A5"/>
    <w:rsid w:val="0072300A"/>
    <w:rsid w:val="007250F2"/>
    <w:rsid w:val="0072543F"/>
    <w:rsid w:val="007261D9"/>
    <w:rsid w:val="00727D8B"/>
    <w:rsid w:val="00730607"/>
    <w:rsid w:val="007307F0"/>
    <w:rsid w:val="00731AD1"/>
    <w:rsid w:val="00732C4A"/>
    <w:rsid w:val="00734A41"/>
    <w:rsid w:val="00736EBC"/>
    <w:rsid w:val="0073781B"/>
    <w:rsid w:val="00743A0E"/>
    <w:rsid w:val="007446DC"/>
    <w:rsid w:val="007510B5"/>
    <w:rsid w:val="00753C10"/>
    <w:rsid w:val="00756287"/>
    <w:rsid w:val="0076480B"/>
    <w:rsid w:val="0077000D"/>
    <w:rsid w:val="0077272D"/>
    <w:rsid w:val="00774194"/>
    <w:rsid w:val="007761DD"/>
    <w:rsid w:val="00782C19"/>
    <w:rsid w:val="00786641"/>
    <w:rsid w:val="00786867"/>
    <w:rsid w:val="0078797F"/>
    <w:rsid w:val="00790689"/>
    <w:rsid w:val="00791516"/>
    <w:rsid w:val="00792C6C"/>
    <w:rsid w:val="00793E97"/>
    <w:rsid w:val="007941A4"/>
    <w:rsid w:val="00794FFB"/>
    <w:rsid w:val="00796181"/>
    <w:rsid w:val="007A1F90"/>
    <w:rsid w:val="007B0D5F"/>
    <w:rsid w:val="007B262C"/>
    <w:rsid w:val="007B3C3C"/>
    <w:rsid w:val="007B410E"/>
    <w:rsid w:val="007B46BA"/>
    <w:rsid w:val="007B5A03"/>
    <w:rsid w:val="007B5A58"/>
    <w:rsid w:val="007B7E8D"/>
    <w:rsid w:val="007C00C7"/>
    <w:rsid w:val="007C0574"/>
    <w:rsid w:val="007C10AA"/>
    <w:rsid w:val="007C1EEE"/>
    <w:rsid w:val="007C2ADE"/>
    <w:rsid w:val="007C4A62"/>
    <w:rsid w:val="007C5D81"/>
    <w:rsid w:val="007C5DBE"/>
    <w:rsid w:val="007C6588"/>
    <w:rsid w:val="007C6BB6"/>
    <w:rsid w:val="007C710B"/>
    <w:rsid w:val="007D1EE2"/>
    <w:rsid w:val="007D2F68"/>
    <w:rsid w:val="007D4212"/>
    <w:rsid w:val="007D4826"/>
    <w:rsid w:val="007D5401"/>
    <w:rsid w:val="007D5453"/>
    <w:rsid w:val="007D7B20"/>
    <w:rsid w:val="007E0266"/>
    <w:rsid w:val="007E4729"/>
    <w:rsid w:val="007F11A5"/>
    <w:rsid w:val="007F1712"/>
    <w:rsid w:val="007F20B6"/>
    <w:rsid w:val="007F27BF"/>
    <w:rsid w:val="007F29C4"/>
    <w:rsid w:val="007F2ABC"/>
    <w:rsid w:val="007F36CC"/>
    <w:rsid w:val="007F39B3"/>
    <w:rsid w:val="007F3E4B"/>
    <w:rsid w:val="007F640B"/>
    <w:rsid w:val="007F799B"/>
    <w:rsid w:val="007F79CA"/>
    <w:rsid w:val="008032F0"/>
    <w:rsid w:val="00803589"/>
    <w:rsid w:val="00804353"/>
    <w:rsid w:val="00806470"/>
    <w:rsid w:val="008079B0"/>
    <w:rsid w:val="00807C3F"/>
    <w:rsid w:val="0081279E"/>
    <w:rsid w:val="008132FC"/>
    <w:rsid w:val="0081371A"/>
    <w:rsid w:val="00813D56"/>
    <w:rsid w:val="00815828"/>
    <w:rsid w:val="00815C38"/>
    <w:rsid w:val="00822355"/>
    <w:rsid w:val="00827A42"/>
    <w:rsid w:val="00827B3A"/>
    <w:rsid w:val="00830EC9"/>
    <w:rsid w:val="008327D4"/>
    <w:rsid w:val="0083376D"/>
    <w:rsid w:val="00833A59"/>
    <w:rsid w:val="00836667"/>
    <w:rsid w:val="00837FE0"/>
    <w:rsid w:val="008406E0"/>
    <w:rsid w:val="008471F9"/>
    <w:rsid w:val="008516C0"/>
    <w:rsid w:val="00854D32"/>
    <w:rsid w:val="008550BF"/>
    <w:rsid w:val="00855FF8"/>
    <w:rsid w:val="0086022B"/>
    <w:rsid w:val="00866473"/>
    <w:rsid w:val="0087188E"/>
    <w:rsid w:val="0087454D"/>
    <w:rsid w:val="008761DD"/>
    <w:rsid w:val="00882A83"/>
    <w:rsid w:val="008833DF"/>
    <w:rsid w:val="008840CD"/>
    <w:rsid w:val="008861EC"/>
    <w:rsid w:val="00887855"/>
    <w:rsid w:val="00890A30"/>
    <w:rsid w:val="00892F5D"/>
    <w:rsid w:val="008933F8"/>
    <w:rsid w:val="008934EC"/>
    <w:rsid w:val="00895034"/>
    <w:rsid w:val="00895105"/>
    <w:rsid w:val="0089559E"/>
    <w:rsid w:val="00895600"/>
    <w:rsid w:val="00896075"/>
    <w:rsid w:val="00896351"/>
    <w:rsid w:val="008968BD"/>
    <w:rsid w:val="008A17F7"/>
    <w:rsid w:val="008A2258"/>
    <w:rsid w:val="008A2F00"/>
    <w:rsid w:val="008A388F"/>
    <w:rsid w:val="008A4053"/>
    <w:rsid w:val="008A51A0"/>
    <w:rsid w:val="008A5FA5"/>
    <w:rsid w:val="008A7223"/>
    <w:rsid w:val="008B0833"/>
    <w:rsid w:val="008B2BC9"/>
    <w:rsid w:val="008B517D"/>
    <w:rsid w:val="008B6595"/>
    <w:rsid w:val="008C00B5"/>
    <w:rsid w:val="008C422A"/>
    <w:rsid w:val="008C6AC0"/>
    <w:rsid w:val="008D05BB"/>
    <w:rsid w:val="008D1124"/>
    <w:rsid w:val="008D4B0A"/>
    <w:rsid w:val="008D5723"/>
    <w:rsid w:val="008D79C8"/>
    <w:rsid w:val="008E0249"/>
    <w:rsid w:val="008E092F"/>
    <w:rsid w:val="008E1258"/>
    <w:rsid w:val="008E1ECF"/>
    <w:rsid w:val="008E3698"/>
    <w:rsid w:val="008E3C02"/>
    <w:rsid w:val="008E6C39"/>
    <w:rsid w:val="008E6CCD"/>
    <w:rsid w:val="008E7601"/>
    <w:rsid w:val="008E784E"/>
    <w:rsid w:val="008E7F43"/>
    <w:rsid w:val="008F06DB"/>
    <w:rsid w:val="008F20C6"/>
    <w:rsid w:val="008F23DF"/>
    <w:rsid w:val="008F3351"/>
    <w:rsid w:val="008F3892"/>
    <w:rsid w:val="008F4900"/>
    <w:rsid w:val="008F6040"/>
    <w:rsid w:val="008F67B2"/>
    <w:rsid w:val="008F67CE"/>
    <w:rsid w:val="00900FDA"/>
    <w:rsid w:val="009050DB"/>
    <w:rsid w:val="00906A7B"/>
    <w:rsid w:val="009073A1"/>
    <w:rsid w:val="00907868"/>
    <w:rsid w:val="00910DE8"/>
    <w:rsid w:val="00911CFC"/>
    <w:rsid w:val="00913032"/>
    <w:rsid w:val="00914EE2"/>
    <w:rsid w:val="0091558D"/>
    <w:rsid w:val="00915827"/>
    <w:rsid w:val="009174B5"/>
    <w:rsid w:val="00917FEA"/>
    <w:rsid w:val="00920857"/>
    <w:rsid w:val="009211C0"/>
    <w:rsid w:val="00921388"/>
    <w:rsid w:val="0092312A"/>
    <w:rsid w:val="00923DA4"/>
    <w:rsid w:val="00930403"/>
    <w:rsid w:val="009305A1"/>
    <w:rsid w:val="0093090A"/>
    <w:rsid w:val="00930F19"/>
    <w:rsid w:val="00931568"/>
    <w:rsid w:val="0093535E"/>
    <w:rsid w:val="009361DC"/>
    <w:rsid w:val="00936FCB"/>
    <w:rsid w:val="00937100"/>
    <w:rsid w:val="009374A5"/>
    <w:rsid w:val="00940CC8"/>
    <w:rsid w:val="009412EA"/>
    <w:rsid w:val="009457C5"/>
    <w:rsid w:val="00946894"/>
    <w:rsid w:val="0094747A"/>
    <w:rsid w:val="0095068B"/>
    <w:rsid w:val="00953099"/>
    <w:rsid w:val="00953990"/>
    <w:rsid w:val="00954697"/>
    <w:rsid w:val="0095529B"/>
    <w:rsid w:val="00955C5E"/>
    <w:rsid w:val="0096213F"/>
    <w:rsid w:val="00962287"/>
    <w:rsid w:val="00962A65"/>
    <w:rsid w:val="00963A2C"/>
    <w:rsid w:val="00963D82"/>
    <w:rsid w:val="00964F84"/>
    <w:rsid w:val="00965379"/>
    <w:rsid w:val="00967925"/>
    <w:rsid w:val="00970D15"/>
    <w:rsid w:val="00971298"/>
    <w:rsid w:val="00971F48"/>
    <w:rsid w:val="00974C47"/>
    <w:rsid w:val="0097503A"/>
    <w:rsid w:val="009805BD"/>
    <w:rsid w:val="009810FE"/>
    <w:rsid w:val="00981EE6"/>
    <w:rsid w:val="00987CA6"/>
    <w:rsid w:val="0099004E"/>
    <w:rsid w:val="00991971"/>
    <w:rsid w:val="00992611"/>
    <w:rsid w:val="009940EA"/>
    <w:rsid w:val="0099535C"/>
    <w:rsid w:val="009966CD"/>
    <w:rsid w:val="00996BC3"/>
    <w:rsid w:val="009A0695"/>
    <w:rsid w:val="009A079F"/>
    <w:rsid w:val="009A210A"/>
    <w:rsid w:val="009A2156"/>
    <w:rsid w:val="009A250A"/>
    <w:rsid w:val="009A3986"/>
    <w:rsid w:val="009A4DC2"/>
    <w:rsid w:val="009B5755"/>
    <w:rsid w:val="009B5D39"/>
    <w:rsid w:val="009B6F35"/>
    <w:rsid w:val="009B7175"/>
    <w:rsid w:val="009B7500"/>
    <w:rsid w:val="009C0AFA"/>
    <w:rsid w:val="009C3247"/>
    <w:rsid w:val="009C3625"/>
    <w:rsid w:val="009C3EEB"/>
    <w:rsid w:val="009C55FC"/>
    <w:rsid w:val="009C56A7"/>
    <w:rsid w:val="009C5B52"/>
    <w:rsid w:val="009C5C13"/>
    <w:rsid w:val="009D2075"/>
    <w:rsid w:val="009D3E63"/>
    <w:rsid w:val="009D520F"/>
    <w:rsid w:val="009D706F"/>
    <w:rsid w:val="009D7328"/>
    <w:rsid w:val="009E0B0F"/>
    <w:rsid w:val="009E0DA2"/>
    <w:rsid w:val="009E1835"/>
    <w:rsid w:val="009E1BFA"/>
    <w:rsid w:val="009E3F60"/>
    <w:rsid w:val="009E4B14"/>
    <w:rsid w:val="009F1967"/>
    <w:rsid w:val="009F203E"/>
    <w:rsid w:val="009F23BE"/>
    <w:rsid w:val="009F27A9"/>
    <w:rsid w:val="009F2B41"/>
    <w:rsid w:val="009F5170"/>
    <w:rsid w:val="009F57F4"/>
    <w:rsid w:val="009F5A4E"/>
    <w:rsid w:val="009F5F67"/>
    <w:rsid w:val="009F7612"/>
    <w:rsid w:val="00A009CF"/>
    <w:rsid w:val="00A010E0"/>
    <w:rsid w:val="00A01295"/>
    <w:rsid w:val="00A028B6"/>
    <w:rsid w:val="00A039BF"/>
    <w:rsid w:val="00A04C25"/>
    <w:rsid w:val="00A04FF6"/>
    <w:rsid w:val="00A06101"/>
    <w:rsid w:val="00A10EE6"/>
    <w:rsid w:val="00A13212"/>
    <w:rsid w:val="00A1384E"/>
    <w:rsid w:val="00A176A5"/>
    <w:rsid w:val="00A20479"/>
    <w:rsid w:val="00A20ED9"/>
    <w:rsid w:val="00A2310B"/>
    <w:rsid w:val="00A236E7"/>
    <w:rsid w:val="00A248D5"/>
    <w:rsid w:val="00A3078B"/>
    <w:rsid w:val="00A30BDD"/>
    <w:rsid w:val="00A43F4E"/>
    <w:rsid w:val="00A452DF"/>
    <w:rsid w:val="00A455F3"/>
    <w:rsid w:val="00A45AE1"/>
    <w:rsid w:val="00A57449"/>
    <w:rsid w:val="00A60200"/>
    <w:rsid w:val="00A61B64"/>
    <w:rsid w:val="00A64632"/>
    <w:rsid w:val="00A64FDB"/>
    <w:rsid w:val="00A65B6C"/>
    <w:rsid w:val="00A73A00"/>
    <w:rsid w:val="00A74FE5"/>
    <w:rsid w:val="00A758D6"/>
    <w:rsid w:val="00A76307"/>
    <w:rsid w:val="00A77519"/>
    <w:rsid w:val="00A811CC"/>
    <w:rsid w:val="00A82109"/>
    <w:rsid w:val="00A82789"/>
    <w:rsid w:val="00A85D03"/>
    <w:rsid w:val="00A861E1"/>
    <w:rsid w:val="00A932AD"/>
    <w:rsid w:val="00A9449B"/>
    <w:rsid w:val="00A95303"/>
    <w:rsid w:val="00A95E17"/>
    <w:rsid w:val="00A97573"/>
    <w:rsid w:val="00AA04EA"/>
    <w:rsid w:val="00AA420E"/>
    <w:rsid w:val="00AA4401"/>
    <w:rsid w:val="00AA46C5"/>
    <w:rsid w:val="00AA6C15"/>
    <w:rsid w:val="00AA6E64"/>
    <w:rsid w:val="00AA7922"/>
    <w:rsid w:val="00AB0970"/>
    <w:rsid w:val="00AB1011"/>
    <w:rsid w:val="00AB11D6"/>
    <w:rsid w:val="00AB274E"/>
    <w:rsid w:val="00AB2B7F"/>
    <w:rsid w:val="00AC084E"/>
    <w:rsid w:val="00AC25C0"/>
    <w:rsid w:val="00AC4818"/>
    <w:rsid w:val="00AC6AB8"/>
    <w:rsid w:val="00AD0277"/>
    <w:rsid w:val="00AD1ACE"/>
    <w:rsid w:val="00AD2B03"/>
    <w:rsid w:val="00AD2B14"/>
    <w:rsid w:val="00AD4FD2"/>
    <w:rsid w:val="00AD6BCB"/>
    <w:rsid w:val="00AD72AD"/>
    <w:rsid w:val="00AE0177"/>
    <w:rsid w:val="00AE236F"/>
    <w:rsid w:val="00AE2453"/>
    <w:rsid w:val="00AE39FD"/>
    <w:rsid w:val="00AE420A"/>
    <w:rsid w:val="00AE6828"/>
    <w:rsid w:val="00AE7B6E"/>
    <w:rsid w:val="00AF05FA"/>
    <w:rsid w:val="00AF0960"/>
    <w:rsid w:val="00AF3B85"/>
    <w:rsid w:val="00AF46C3"/>
    <w:rsid w:val="00AF5AB5"/>
    <w:rsid w:val="00AF752C"/>
    <w:rsid w:val="00B03E00"/>
    <w:rsid w:val="00B044DE"/>
    <w:rsid w:val="00B0543B"/>
    <w:rsid w:val="00B06743"/>
    <w:rsid w:val="00B113E3"/>
    <w:rsid w:val="00B12324"/>
    <w:rsid w:val="00B14C4F"/>
    <w:rsid w:val="00B1621F"/>
    <w:rsid w:val="00B205AC"/>
    <w:rsid w:val="00B212AB"/>
    <w:rsid w:val="00B21857"/>
    <w:rsid w:val="00B21CC7"/>
    <w:rsid w:val="00B23C27"/>
    <w:rsid w:val="00B23DF0"/>
    <w:rsid w:val="00B26888"/>
    <w:rsid w:val="00B26FF4"/>
    <w:rsid w:val="00B304AC"/>
    <w:rsid w:val="00B30526"/>
    <w:rsid w:val="00B37E92"/>
    <w:rsid w:val="00B4053D"/>
    <w:rsid w:val="00B41853"/>
    <w:rsid w:val="00B44FC0"/>
    <w:rsid w:val="00B4576A"/>
    <w:rsid w:val="00B465E6"/>
    <w:rsid w:val="00B47870"/>
    <w:rsid w:val="00B509BE"/>
    <w:rsid w:val="00B5171C"/>
    <w:rsid w:val="00B51DFD"/>
    <w:rsid w:val="00B55C32"/>
    <w:rsid w:val="00B56A51"/>
    <w:rsid w:val="00B57F5B"/>
    <w:rsid w:val="00B714BC"/>
    <w:rsid w:val="00B71617"/>
    <w:rsid w:val="00B72662"/>
    <w:rsid w:val="00B74096"/>
    <w:rsid w:val="00B74B1F"/>
    <w:rsid w:val="00B74C19"/>
    <w:rsid w:val="00B74C4D"/>
    <w:rsid w:val="00B75619"/>
    <w:rsid w:val="00B7650E"/>
    <w:rsid w:val="00B76C20"/>
    <w:rsid w:val="00B76CF8"/>
    <w:rsid w:val="00B77E11"/>
    <w:rsid w:val="00B81867"/>
    <w:rsid w:val="00B82A65"/>
    <w:rsid w:val="00B856A6"/>
    <w:rsid w:val="00B87AEA"/>
    <w:rsid w:val="00B91916"/>
    <w:rsid w:val="00B91F63"/>
    <w:rsid w:val="00B93096"/>
    <w:rsid w:val="00B939E3"/>
    <w:rsid w:val="00B94441"/>
    <w:rsid w:val="00B94D55"/>
    <w:rsid w:val="00B95189"/>
    <w:rsid w:val="00B96A47"/>
    <w:rsid w:val="00BA0AD5"/>
    <w:rsid w:val="00BA1E3E"/>
    <w:rsid w:val="00BA3612"/>
    <w:rsid w:val="00BA3A25"/>
    <w:rsid w:val="00BA4B64"/>
    <w:rsid w:val="00BA5BD1"/>
    <w:rsid w:val="00BA6EA0"/>
    <w:rsid w:val="00BB3BCC"/>
    <w:rsid w:val="00BB3C21"/>
    <w:rsid w:val="00BB49D0"/>
    <w:rsid w:val="00BB5AB1"/>
    <w:rsid w:val="00BC15F0"/>
    <w:rsid w:val="00BC1D34"/>
    <w:rsid w:val="00BC226C"/>
    <w:rsid w:val="00BC7649"/>
    <w:rsid w:val="00BD1F5D"/>
    <w:rsid w:val="00BD238C"/>
    <w:rsid w:val="00BD2EE5"/>
    <w:rsid w:val="00BD30F2"/>
    <w:rsid w:val="00BD34E6"/>
    <w:rsid w:val="00BD3595"/>
    <w:rsid w:val="00BD4725"/>
    <w:rsid w:val="00BD551C"/>
    <w:rsid w:val="00BD6C8A"/>
    <w:rsid w:val="00BE36BF"/>
    <w:rsid w:val="00BE6796"/>
    <w:rsid w:val="00BF2098"/>
    <w:rsid w:val="00BF3580"/>
    <w:rsid w:val="00BF4F61"/>
    <w:rsid w:val="00BF7783"/>
    <w:rsid w:val="00C01322"/>
    <w:rsid w:val="00C07270"/>
    <w:rsid w:val="00C07811"/>
    <w:rsid w:val="00C101B6"/>
    <w:rsid w:val="00C120DB"/>
    <w:rsid w:val="00C147B3"/>
    <w:rsid w:val="00C154D0"/>
    <w:rsid w:val="00C16742"/>
    <w:rsid w:val="00C24E7A"/>
    <w:rsid w:val="00C26520"/>
    <w:rsid w:val="00C30240"/>
    <w:rsid w:val="00C305BA"/>
    <w:rsid w:val="00C3099C"/>
    <w:rsid w:val="00C31B24"/>
    <w:rsid w:val="00C33D6E"/>
    <w:rsid w:val="00C34596"/>
    <w:rsid w:val="00C34B4C"/>
    <w:rsid w:val="00C35770"/>
    <w:rsid w:val="00C378D0"/>
    <w:rsid w:val="00C409C9"/>
    <w:rsid w:val="00C42C13"/>
    <w:rsid w:val="00C436EF"/>
    <w:rsid w:val="00C44F0F"/>
    <w:rsid w:val="00C4549C"/>
    <w:rsid w:val="00C45529"/>
    <w:rsid w:val="00C46453"/>
    <w:rsid w:val="00C465C1"/>
    <w:rsid w:val="00C47D6C"/>
    <w:rsid w:val="00C531D6"/>
    <w:rsid w:val="00C57528"/>
    <w:rsid w:val="00C60F9F"/>
    <w:rsid w:val="00C624E6"/>
    <w:rsid w:val="00C63695"/>
    <w:rsid w:val="00C63F7C"/>
    <w:rsid w:val="00C64B5F"/>
    <w:rsid w:val="00C65572"/>
    <w:rsid w:val="00C663C3"/>
    <w:rsid w:val="00C666FA"/>
    <w:rsid w:val="00C72EBC"/>
    <w:rsid w:val="00C739D2"/>
    <w:rsid w:val="00C761B1"/>
    <w:rsid w:val="00C76CD1"/>
    <w:rsid w:val="00C807FB"/>
    <w:rsid w:val="00C81ABD"/>
    <w:rsid w:val="00C822CF"/>
    <w:rsid w:val="00C8291C"/>
    <w:rsid w:val="00C852EF"/>
    <w:rsid w:val="00C857DF"/>
    <w:rsid w:val="00C85863"/>
    <w:rsid w:val="00C87D5A"/>
    <w:rsid w:val="00C92785"/>
    <w:rsid w:val="00C9370B"/>
    <w:rsid w:val="00C9508F"/>
    <w:rsid w:val="00C95FAA"/>
    <w:rsid w:val="00CA4DA6"/>
    <w:rsid w:val="00CA7EAF"/>
    <w:rsid w:val="00CB117E"/>
    <w:rsid w:val="00CB15CD"/>
    <w:rsid w:val="00CB165B"/>
    <w:rsid w:val="00CB1684"/>
    <w:rsid w:val="00CB32B0"/>
    <w:rsid w:val="00CB4138"/>
    <w:rsid w:val="00CB4D3C"/>
    <w:rsid w:val="00CB7FA1"/>
    <w:rsid w:val="00CC0389"/>
    <w:rsid w:val="00CC11BD"/>
    <w:rsid w:val="00CC229E"/>
    <w:rsid w:val="00CC2406"/>
    <w:rsid w:val="00CC3409"/>
    <w:rsid w:val="00CC3D20"/>
    <w:rsid w:val="00CC5DB5"/>
    <w:rsid w:val="00CC6B70"/>
    <w:rsid w:val="00CC7C88"/>
    <w:rsid w:val="00CD4719"/>
    <w:rsid w:val="00CD5EA0"/>
    <w:rsid w:val="00CD6093"/>
    <w:rsid w:val="00CD6EDA"/>
    <w:rsid w:val="00CE286F"/>
    <w:rsid w:val="00CE37D8"/>
    <w:rsid w:val="00CE3BEF"/>
    <w:rsid w:val="00CE6835"/>
    <w:rsid w:val="00CF080F"/>
    <w:rsid w:val="00CF0B29"/>
    <w:rsid w:val="00CF35DC"/>
    <w:rsid w:val="00CF42D3"/>
    <w:rsid w:val="00CF4C35"/>
    <w:rsid w:val="00CF568B"/>
    <w:rsid w:val="00CF6554"/>
    <w:rsid w:val="00CF6C71"/>
    <w:rsid w:val="00CF6F11"/>
    <w:rsid w:val="00D00863"/>
    <w:rsid w:val="00D00D6B"/>
    <w:rsid w:val="00D02508"/>
    <w:rsid w:val="00D04E6E"/>
    <w:rsid w:val="00D10699"/>
    <w:rsid w:val="00D10C2B"/>
    <w:rsid w:val="00D11DAE"/>
    <w:rsid w:val="00D13149"/>
    <w:rsid w:val="00D13E22"/>
    <w:rsid w:val="00D14A1F"/>
    <w:rsid w:val="00D15AE9"/>
    <w:rsid w:val="00D164AB"/>
    <w:rsid w:val="00D16FFB"/>
    <w:rsid w:val="00D2510C"/>
    <w:rsid w:val="00D25A0A"/>
    <w:rsid w:val="00D27C34"/>
    <w:rsid w:val="00D3122C"/>
    <w:rsid w:val="00D32E13"/>
    <w:rsid w:val="00D3396F"/>
    <w:rsid w:val="00D34A8F"/>
    <w:rsid w:val="00D40AAE"/>
    <w:rsid w:val="00D40C01"/>
    <w:rsid w:val="00D41F18"/>
    <w:rsid w:val="00D424F6"/>
    <w:rsid w:val="00D55AB0"/>
    <w:rsid w:val="00D60055"/>
    <w:rsid w:val="00D66C02"/>
    <w:rsid w:val="00D672F5"/>
    <w:rsid w:val="00D71C27"/>
    <w:rsid w:val="00D72E1D"/>
    <w:rsid w:val="00D735E2"/>
    <w:rsid w:val="00D75A3B"/>
    <w:rsid w:val="00D76E71"/>
    <w:rsid w:val="00D76F77"/>
    <w:rsid w:val="00D82790"/>
    <w:rsid w:val="00D836E5"/>
    <w:rsid w:val="00D83F55"/>
    <w:rsid w:val="00D8779A"/>
    <w:rsid w:val="00D90E8D"/>
    <w:rsid w:val="00D91C97"/>
    <w:rsid w:val="00D92C8B"/>
    <w:rsid w:val="00D96A15"/>
    <w:rsid w:val="00DA073D"/>
    <w:rsid w:val="00DA3FE5"/>
    <w:rsid w:val="00DA5263"/>
    <w:rsid w:val="00DA533C"/>
    <w:rsid w:val="00DB0B5C"/>
    <w:rsid w:val="00DB1129"/>
    <w:rsid w:val="00DB11A0"/>
    <w:rsid w:val="00DB14C4"/>
    <w:rsid w:val="00DB2CF2"/>
    <w:rsid w:val="00DB4C32"/>
    <w:rsid w:val="00DB5632"/>
    <w:rsid w:val="00DB6052"/>
    <w:rsid w:val="00DB6A14"/>
    <w:rsid w:val="00DB7EE5"/>
    <w:rsid w:val="00DC045C"/>
    <w:rsid w:val="00DC213D"/>
    <w:rsid w:val="00DC369B"/>
    <w:rsid w:val="00DC6EC7"/>
    <w:rsid w:val="00DC779C"/>
    <w:rsid w:val="00DD0AF0"/>
    <w:rsid w:val="00DD244E"/>
    <w:rsid w:val="00DD2EB3"/>
    <w:rsid w:val="00DD54A0"/>
    <w:rsid w:val="00DD5B1B"/>
    <w:rsid w:val="00DD75BE"/>
    <w:rsid w:val="00DE4614"/>
    <w:rsid w:val="00DE5027"/>
    <w:rsid w:val="00DE538D"/>
    <w:rsid w:val="00DE67B7"/>
    <w:rsid w:val="00DE72E1"/>
    <w:rsid w:val="00DF07AB"/>
    <w:rsid w:val="00DF77CB"/>
    <w:rsid w:val="00E01418"/>
    <w:rsid w:val="00E01D62"/>
    <w:rsid w:val="00E02BC4"/>
    <w:rsid w:val="00E03232"/>
    <w:rsid w:val="00E04286"/>
    <w:rsid w:val="00E04F48"/>
    <w:rsid w:val="00E11E45"/>
    <w:rsid w:val="00E12D25"/>
    <w:rsid w:val="00E130A1"/>
    <w:rsid w:val="00E140BC"/>
    <w:rsid w:val="00E15EC0"/>
    <w:rsid w:val="00E16BE2"/>
    <w:rsid w:val="00E2531B"/>
    <w:rsid w:val="00E2668C"/>
    <w:rsid w:val="00E2774F"/>
    <w:rsid w:val="00E31A2A"/>
    <w:rsid w:val="00E32E41"/>
    <w:rsid w:val="00E331D9"/>
    <w:rsid w:val="00E33962"/>
    <w:rsid w:val="00E34CF9"/>
    <w:rsid w:val="00E35A3B"/>
    <w:rsid w:val="00E3614F"/>
    <w:rsid w:val="00E3643B"/>
    <w:rsid w:val="00E37D4D"/>
    <w:rsid w:val="00E41299"/>
    <w:rsid w:val="00E4301F"/>
    <w:rsid w:val="00E440FD"/>
    <w:rsid w:val="00E46E67"/>
    <w:rsid w:val="00E5054A"/>
    <w:rsid w:val="00E50767"/>
    <w:rsid w:val="00E51B21"/>
    <w:rsid w:val="00E53C41"/>
    <w:rsid w:val="00E54018"/>
    <w:rsid w:val="00E56C2C"/>
    <w:rsid w:val="00E57241"/>
    <w:rsid w:val="00E61E6A"/>
    <w:rsid w:val="00E63575"/>
    <w:rsid w:val="00E65231"/>
    <w:rsid w:val="00E66176"/>
    <w:rsid w:val="00E667EB"/>
    <w:rsid w:val="00E71A68"/>
    <w:rsid w:val="00E74584"/>
    <w:rsid w:val="00E7745F"/>
    <w:rsid w:val="00E8046D"/>
    <w:rsid w:val="00E811A7"/>
    <w:rsid w:val="00E83350"/>
    <w:rsid w:val="00E833EA"/>
    <w:rsid w:val="00E836C5"/>
    <w:rsid w:val="00E8540D"/>
    <w:rsid w:val="00E8608E"/>
    <w:rsid w:val="00E8612E"/>
    <w:rsid w:val="00E86519"/>
    <w:rsid w:val="00E86739"/>
    <w:rsid w:val="00E900BC"/>
    <w:rsid w:val="00E9076C"/>
    <w:rsid w:val="00E90925"/>
    <w:rsid w:val="00E909ED"/>
    <w:rsid w:val="00E90D1F"/>
    <w:rsid w:val="00E92276"/>
    <w:rsid w:val="00E92A7B"/>
    <w:rsid w:val="00E931B7"/>
    <w:rsid w:val="00E95E7F"/>
    <w:rsid w:val="00E97767"/>
    <w:rsid w:val="00EA0499"/>
    <w:rsid w:val="00EA16EF"/>
    <w:rsid w:val="00EA3ACF"/>
    <w:rsid w:val="00EB1F19"/>
    <w:rsid w:val="00EB4B6F"/>
    <w:rsid w:val="00EB6B06"/>
    <w:rsid w:val="00EB6B34"/>
    <w:rsid w:val="00EC1081"/>
    <w:rsid w:val="00EC1503"/>
    <w:rsid w:val="00EC16A1"/>
    <w:rsid w:val="00EC226E"/>
    <w:rsid w:val="00EC2BB2"/>
    <w:rsid w:val="00EC527A"/>
    <w:rsid w:val="00EC6FB3"/>
    <w:rsid w:val="00ED04F4"/>
    <w:rsid w:val="00ED1152"/>
    <w:rsid w:val="00ED142D"/>
    <w:rsid w:val="00ED6271"/>
    <w:rsid w:val="00ED793E"/>
    <w:rsid w:val="00EE365E"/>
    <w:rsid w:val="00EE4F85"/>
    <w:rsid w:val="00EE55D1"/>
    <w:rsid w:val="00EE6CFC"/>
    <w:rsid w:val="00EF57B7"/>
    <w:rsid w:val="00EF68AE"/>
    <w:rsid w:val="00F02E2E"/>
    <w:rsid w:val="00F0750B"/>
    <w:rsid w:val="00F07834"/>
    <w:rsid w:val="00F10D0C"/>
    <w:rsid w:val="00F20013"/>
    <w:rsid w:val="00F20A43"/>
    <w:rsid w:val="00F20B9C"/>
    <w:rsid w:val="00F220BE"/>
    <w:rsid w:val="00F22782"/>
    <w:rsid w:val="00F229B7"/>
    <w:rsid w:val="00F247DA"/>
    <w:rsid w:val="00F265AD"/>
    <w:rsid w:val="00F26780"/>
    <w:rsid w:val="00F27B12"/>
    <w:rsid w:val="00F32F62"/>
    <w:rsid w:val="00F3380E"/>
    <w:rsid w:val="00F35465"/>
    <w:rsid w:val="00F40AF5"/>
    <w:rsid w:val="00F436D5"/>
    <w:rsid w:val="00F453C5"/>
    <w:rsid w:val="00F45D81"/>
    <w:rsid w:val="00F4710E"/>
    <w:rsid w:val="00F5048B"/>
    <w:rsid w:val="00F50619"/>
    <w:rsid w:val="00F5408D"/>
    <w:rsid w:val="00F55F9F"/>
    <w:rsid w:val="00F61EAE"/>
    <w:rsid w:val="00F63151"/>
    <w:rsid w:val="00F66363"/>
    <w:rsid w:val="00F67E87"/>
    <w:rsid w:val="00F74959"/>
    <w:rsid w:val="00F7586A"/>
    <w:rsid w:val="00F76D65"/>
    <w:rsid w:val="00F80105"/>
    <w:rsid w:val="00F813D7"/>
    <w:rsid w:val="00F81F58"/>
    <w:rsid w:val="00F8206B"/>
    <w:rsid w:val="00F82167"/>
    <w:rsid w:val="00F86A6C"/>
    <w:rsid w:val="00F90B86"/>
    <w:rsid w:val="00F919C8"/>
    <w:rsid w:val="00F925E8"/>
    <w:rsid w:val="00F96EFA"/>
    <w:rsid w:val="00FA075F"/>
    <w:rsid w:val="00FA1D80"/>
    <w:rsid w:val="00FA49AF"/>
    <w:rsid w:val="00FA57EB"/>
    <w:rsid w:val="00FA6100"/>
    <w:rsid w:val="00FA65FD"/>
    <w:rsid w:val="00FA76A8"/>
    <w:rsid w:val="00FB0346"/>
    <w:rsid w:val="00FB07BB"/>
    <w:rsid w:val="00FB12B4"/>
    <w:rsid w:val="00FB1D33"/>
    <w:rsid w:val="00FB249E"/>
    <w:rsid w:val="00FB3731"/>
    <w:rsid w:val="00FB5C1C"/>
    <w:rsid w:val="00FB5E14"/>
    <w:rsid w:val="00FB63D8"/>
    <w:rsid w:val="00FB6C67"/>
    <w:rsid w:val="00FC0DE9"/>
    <w:rsid w:val="00FC35D3"/>
    <w:rsid w:val="00FC363B"/>
    <w:rsid w:val="00FC5D2A"/>
    <w:rsid w:val="00FC7B82"/>
    <w:rsid w:val="00FD06A3"/>
    <w:rsid w:val="00FE00CF"/>
    <w:rsid w:val="00FE2CFB"/>
    <w:rsid w:val="00FE4AEF"/>
    <w:rsid w:val="00FE61F1"/>
    <w:rsid w:val="00FE718F"/>
    <w:rsid w:val="00FE758F"/>
    <w:rsid w:val="00FF0869"/>
    <w:rsid w:val="00FF0BEF"/>
    <w:rsid w:val="00FF22E2"/>
    <w:rsid w:val="00FF4FFD"/>
    <w:rsid w:val="00FF5573"/>
    <w:rsid w:val="00FF7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C5FA74-39F3-4457-A149-1C0D9416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B6E"/>
    <w:pPr>
      <w:spacing w:before="120" w:after="120"/>
    </w:pPr>
  </w:style>
  <w:style w:type="paragraph" w:styleId="Heading1">
    <w:name w:val="heading 1"/>
    <w:basedOn w:val="Normal"/>
    <w:next w:val="Normal"/>
    <w:link w:val="Heading1Char"/>
    <w:uiPriority w:val="9"/>
    <w:qFormat/>
    <w:rsid w:val="00AE7B6E"/>
    <w:pPr>
      <w:spacing w:after="360"/>
      <w:jc w:val="center"/>
      <w:outlineLvl w:val="0"/>
    </w:pPr>
    <w:rPr>
      <w:b/>
      <w:noProof/>
      <w:sz w:val="36"/>
      <w:u w:val="single"/>
    </w:rPr>
  </w:style>
  <w:style w:type="paragraph" w:styleId="Heading2">
    <w:name w:val="heading 2"/>
    <w:basedOn w:val="Normal"/>
    <w:link w:val="Heading2Char"/>
    <w:uiPriority w:val="9"/>
    <w:qFormat/>
    <w:rsid w:val="00AE7B6E"/>
    <w:pPr>
      <w:numPr>
        <w:numId w:val="44"/>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AE7B6E"/>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AE7B6E"/>
    <w:pPr>
      <w:spacing w:before="24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AE7B6E"/>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rsid w:val="00AE7B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7B6E"/>
  </w:style>
  <w:style w:type="paragraph" w:styleId="ListParagraph">
    <w:name w:val="List Paragraph"/>
    <w:basedOn w:val="Normal"/>
    <w:link w:val="ListParagraphChar"/>
    <w:uiPriority w:val="34"/>
    <w:qFormat/>
    <w:rsid w:val="00F5408D"/>
    <w:pPr>
      <w:ind w:left="720"/>
      <w:contextualSpacing/>
    </w:pPr>
  </w:style>
  <w:style w:type="table" w:styleId="TableGrid">
    <w:name w:val="Table Grid"/>
    <w:basedOn w:val="TableNormal"/>
    <w:uiPriority w:val="59"/>
    <w:rsid w:val="00A74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369B"/>
    <w:rPr>
      <w:rFonts w:ascii="Tahoma" w:hAnsi="Tahoma" w:cs="Tahoma"/>
      <w:sz w:val="16"/>
      <w:szCs w:val="16"/>
    </w:rPr>
  </w:style>
  <w:style w:type="character" w:customStyle="1" w:styleId="BalloonTextChar">
    <w:name w:val="Balloon Text Char"/>
    <w:basedOn w:val="DefaultParagraphFont"/>
    <w:link w:val="BalloonText"/>
    <w:uiPriority w:val="99"/>
    <w:semiHidden/>
    <w:rsid w:val="00DC369B"/>
    <w:rPr>
      <w:rFonts w:ascii="Tahoma" w:hAnsi="Tahoma" w:cs="Tahoma"/>
      <w:sz w:val="16"/>
      <w:szCs w:val="16"/>
    </w:rPr>
  </w:style>
  <w:style w:type="character" w:styleId="Hyperlink">
    <w:name w:val="Hyperlink"/>
    <w:basedOn w:val="DefaultParagraphFont"/>
    <w:uiPriority w:val="99"/>
    <w:unhideWhenUsed/>
    <w:rsid w:val="006B5711"/>
    <w:rPr>
      <w:color w:val="0000FF" w:themeColor="hyperlink"/>
      <w:u w:val="single"/>
    </w:rPr>
  </w:style>
  <w:style w:type="character" w:customStyle="1" w:styleId="Heading2Char">
    <w:name w:val="Heading 2 Char"/>
    <w:basedOn w:val="DefaultParagraphFont"/>
    <w:link w:val="Heading2"/>
    <w:uiPriority w:val="9"/>
    <w:rsid w:val="00AE7B6E"/>
    <w:rPr>
      <w:b/>
      <w:noProof/>
      <w:color w:val="FFFFFF" w:themeColor="background1"/>
      <w:sz w:val="28"/>
      <w:shd w:val="clear" w:color="auto" w:fill="000000" w:themeFill="text1"/>
    </w:rPr>
  </w:style>
  <w:style w:type="paragraph" w:styleId="NormalWeb">
    <w:name w:val="Normal (Web)"/>
    <w:basedOn w:val="Normal"/>
    <w:uiPriority w:val="99"/>
    <w:unhideWhenUsed/>
    <w:rsid w:val="00430CA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0CAC"/>
  </w:style>
  <w:style w:type="paragraph" w:styleId="FootnoteText">
    <w:name w:val="footnote text"/>
    <w:basedOn w:val="Normal"/>
    <w:link w:val="FootnoteTextChar"/>
    <w:uiPriority w:val="99"/>
    <w:unhideWhenUsed/>
    <w:rsid w:val="00AE7B6E"/>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AE7B6E"/>
    <w:rPr>
      <w:sz w:val="20"/>
      <w:szCs w:val="20"/>
    </w:rPr>
  </w:style>
  <w:style w:type="character" w:styleId="FootnoteReference">
    <w:name w:val="footnote reference"/>
    <w:basedOn w:val="DefaultParagraphFont"/>
    <w:uiPriority w:val="99"/>
    <w:unhideWhenUsed/>
    <w:rsid w:val="00C465C1"/>
    <w:rPr>
      <w:vertAlign w:val="superscript"/>
    </w:rPr>
  </w:style>
  <w:style w:type="paragraph" w:styleId="PlainText">
    <w:name w:val="Plain Text"/>
    <w:basedOn w:val="Normal"/>
    <w:link w:val="PlainTextChar"/>
    <w:uiPriority w:val="99"/>
    <w:unhideWhenUsed/>
    <w:rsid w:val="006010AE"/>
    <w:rPr>
      <w:rFonts w:ascii="Calibri" w:hAnsi="Calibri"/>
      <w:szCs w:val="21"/>
    </w:rPr>
  </w:style>
  <w:style w:type="character" w:customStyle="1" w:styleId="PlainTextChar">
    <w:name w:val="Plain Text Char"/>
    <w:basedOn w:val="DefaultParagraphFont"/>
    <w:link w:val="PlainText"/>
    <w:uiPriority w:val="99"/>
    <w:rsid w:val="006010AE"/>
    <w:rPr>
      <w:rFonts w:ascii="Calibri" w:hAnsi="Calibri"/>
      <w:szCs w:val="21"/>
    </w:rPr>
  </w:style>
  <w:style w:type="character" w:styleId="FollowedHyperlink">
    <w:name w:val="FollowedHyperlink"/>
    <w:basedOn w:val="DefaultParagraphFont"/>
    <w:uiPriority w:val="99"/>
    <w:semiHidden/>
    <w:unhideWhenUsed/>
    <w:rsid w:val="00C761B1"/>
    <w:rPr>
      <w:color w:val="800080" w:themeColor="followedHyperlink"/>
      <w:u w:val="single"/>
    </w:rPr>
  </w:style>
  <w:style w:type="paragraph" w:styleId="NoSpacing">
    <w:name w:val="No Spacing"/>
    <w:basedOn w:val="Normal"/>
    <w:uiPriority w:val="99"/>
    <w:qFormat/>
    <w:rsid w:val="00B96A47"/>
    <w:pPr>
      <w:autoSpaceDE w:val="0"/>
      <w:autoSpaceDN w:val="0"/>
      <w:adjustRightInd w:val="0"/>
    </w:pPr>
    <w:rPr>
      <w:rFonts w:ascii="Calibri" w:hAnsi="Calibri" w:cs="Calibri"/>
    </w:rPr>
  </w:style>
  <w:style w:type="paragraph" w:styleId="CommentText">
    <w:name w:val="annotation text"/>
    <w:basedOn w:val="Normal"/>
    <w:link w:val="CommentTextChar"/>
    <w:uiPriority w:val="99"/>
    <w:semiHidden/>
    <w:unhideWhenUsed/>
    <w:rsid w:val="00F0750B"/>
    <w:rPr>
      <w:sz w:val="20"/>
      <w:szCs w:val="20"/>
    </w:rPr>
  </w:style>
  <w:style w:type="character" w:customStyle="1" w:styleId="CommentTextChar">
    <w:name w:val="Comment Text Char"/>
    <w:basedOn w:val="DefaultParagraphFont"/>
    <w:link w:val="CommentText"/>
    <w:uiPriority w:val="99"/>
    <w:semiHidden/>
    <w:rsid w:val="00F0750B"/>
    <w:rPr>
      <w:sz w:val="20"/>
      <w:szCs w:val="20"/>
    </w:rPr>
  </w:style>
  <w:style w:type="paragraph" w:styleId="CommentSubject">
    <w:name w:val="annotation subject"/>
    <w:basedOn w:val="CommentText"/>
    <w:next w:val="CommentText"/>
    <w:link w:val="CommentSubjectChar"/>
    <w:uiPriority w:val="99"/>
    <w:semiHidden/>
    <w:unhideWhenUsed/>
    <w:rsid w:val="00F0750B"/>
    <w:rPr>
      <w:b/>
      <w:bCs/>
    </w:rPr>
  </w:style>
  <w:style w:type="character" w:customStyle="1" w:styleId="CommentSubjectChar">
    <w:name w:val="Comment Subject Char"/>
    <w:basedOn w:val="CommentTextChar"/>
    <w:link w:val="CommentSubject"/>
    <w:uiPriority w:val="99"/>
    <w:semiHidden/>
    <w:rsid w:val="00F0750B"/>
    <w:rPr>
      <w:b/>
      <w:bCs/>
      <w:sz w:val="20"/>
      <w:szCs w:val="20"/>
    </w:rPr>
  </w:style>
  <w:style w:type="paragraph" w:styleId="Header">
    <w:name w:val="header"/>
    <w:basedOn w:val="Normal"/>
    <w:link w:val="HeaderChar"/>
    <w:uiPriority w:val="99"/>
    <w:unhideWhenUsed/>
    <w:qFormat/>
    <w:rsid w:val="004A7D56"/>
    <w:pPr>
      <w:tabs>
        <w:tab w:val="center" w:pos="4680"/>
        <w:tab w:val="right" w:pos="9360"/>
      </w:tabs>
    </w:pPr>
  </w:style>
  <w:style w:type="character" w:customStyle="1" w:styleId="HeaderChar">
    <w:name w:val="Header Char"/>
    <w:basedOn w:val="DefaultParagraphFont"/>
    <w:link w:val="Header"/>
    <w:uiPriority w:val="99"/>
    <w:rsid w:val="004A7D56"/>
  </w:style>
  <w:style w:type="paragraph" w:styleId="Footer">
    <w:name w:val="footer"/>
    <w:basedOn w:val="Normal"/>
    <w:link w:val="FooterChar"/>
    <w:uiPriority w:val="99"/>
    <w:unhideWhenUsed/>
    <w:rsid w:val="004A7D56"/>
    <w:pPr>
      <w:tabs>
        <w:tab w:val="center" w:pos="4680"/>
        <w:tab w:val="right" w:pos="9360"/>
      </w:tabs>
    </w:pPr>
  </w:style>
  <w:style w:type="character" w:customStyle="1" w:styleId="FooterChar">
    <w:name w:val="Footer Char"/>
    <w:basedOn w:val="DefaultParagraphFont"/>
    <w:link w:val="Footer"/>
    <w:uiPriority w:val="99"/>
    <w:rsid w:val="004A7D56"/>
  </w:style>
  <w:style w:type="character" w:customStyle="1" w:styleId="Heading1Char">
    <w:name w:val="Heading 1 Char"/>
    <w:basedOn w:val="DefaultParagraphFont"/>
    <w:link w:val="Heading1"/>
    <w:uiPriority w:val="9"/>
    <w:rsid w:val="00AE7B6E"/>
    <w:rPr>
      <w:b/>
      <w:noProof/>
      <w:sz w:val="36"/>
      <w:u w:val="single"/>
    </w:rPr>
  </w:style>
  <w:style w:type="paragraph" w:styleId="TOCHeading">
    <w:name w:val="TOC Heading"/>
    <w:basedOn w:val="Heading1"/>
    <w:next w:val="Normal"/>
    <w:uiPriority w:val="39"/>
    <w:unhideWhenUsed/>
    <w:qFormat/>
    <w:rsid w:val="00E74584"/>
    <w:pPr>
      <w:spacing w:line="259" w:lineRule="auto"/>
      <w:outlineLvl w:val="9"/>
    </w:pPr>
  </w:style>
  <w:style w:type="character" w:customStyle="1" w:styleId="ListParagraphChar">
    <w:name w:val="List Paragraph Char"/>
    <w:basedOn w:val="DefaultParagraphFont"/>
    <w:link w:val="ListParagraph"/>
    <w:uiPriority w:val="99"/>
    <w:rsid w:val="00D76E71"/>
  </w:style>
  <w:style w:type="paragraph" w:styleId="TOC1">
    <w:name w:val="toc 1"/>
    <w:basedOn w:val="Normal"/>
    <w:next w:val="Normal"/>
    <w:autoRedefine/>
    <w:uiPriority w:val="39"/>
    <w:unhideWhenUsed/>
    <w:rsid w:val="007446DC"/>
    <w:pPr>
      <w:spacing w:after="100"/>
    </w:pPr>
  </w:style>
  <w:style w:type="paragraph" w:styleId="TOC2">
    <w:name w:val="toc 2"/>
    <w:basedOn w:val="Normal"/>
    <w:next w:val="Normal"/>
    <w:autoRedefine/>
    <w:uiPriority w:val="39"/>
    <w:unhideWhenUsed/>
    <w:rsid w:val="00B14C4F"/>
    <w:pPr>
      <w:tabs>
        <w:tab w:val="right" w:leader="dot" w:pos="9854"/>
      </w:tabs>
      <w:spacing w:after="40"/>
      <w:ind w:left="216"/>
    </w:pPr>
    <w:rPr>
      <w:noProof/>
      <w:sz w:val="20"/>
      <w:szCs w:val="20"/>
    </w:rPr>
  </w:style>
  <w:style w:type="character" w:customStyle="1" w:styleId="Heading3Char">
    <w:name w:val="Heading 3 Char"/>
    <w:basedOn w:val="DefaultParagraphFont"/>
    <w:link w:val="Heading3"/>
    <w:uiPriority w:val="9"/>
    <w:rsid w:val="00AE7B6E"/>
    <w:rPr>
      <w:rFonts w:ascii="Times New Roman" w:eastAsia="Times New Roman" w:hAnsi="Times New Roman" w:cs="Times New Roman"/>
      <w:b/>
      <w:bCs/>
      <w:sz w:val="24"/>
      <w:szCs w:val="24"/>
      <w:u w:val="single"/>
    </w:rPr>
  </w:style>
  <w:style w:type="paragraph" w:styleId="TOC3">
    <w:name w:val="toc 3"/>
    <w:basedOn w:val="Normal"/>
    <w:next w:val="Normal"/>
    <w:autoRedefine/>
    <w:uiPriority w:val="39"/>
    <w:unhideWhenUsed/>
    <w:rsid w:val="006015DA"/>
    <w:pPr>
      <w:spacing w:after="100"/>
      <w:ind w:left="440"/>
    </w:pPr>
  </w:style>
  <w:style w:type="character" w:customStyle="1" w:styleId="Heading4Char">
    <w:name w:val="Heading 4 Char"/>
    <w:basedOn w:val="DefaultParagraphFont"/>
    <w:link w:val="Heading4"/>
    <w:uiPriority w:val="9"/>
    <w:rsid w:val="00AE7B6E"/>
    <w:rPr>
      <w:rFonts w:ascii="Calibri" w:hAnsi="Calibri" w:cs="Times New Roman"/>
      <w:b/>
      <w:i/>
      <w:u w:val="single"/>
    </w:rPr>
  </w:style>
  <w:style w:type="paragraph" w:styleId="TOC4">
    <w:name w:val="toc 4"/>
    <w:basedOn w:val="Normal"/>
    <w:next w:val="Normal"/>
    <w:autoRedefine/>
    <w:uiPriority w:val="39"/>
    <w:unhideWhenUsed/>
    <w:rsid w:val="000676B9"/>
    <w:pPr>
      <w:spacing w:after="100"/>
      <w:ind w:left="660"/>
    </w:pPr>
  </w:style>
  <w:style w:type="character" w:customStyle="1" w:styleId="Heading5Char">
    <w:name w:val="Heading 5 Char"/>
    <w:basedOn w:val="DefaultParagraphFont"/>
    <w:link w:val="Heading5"/>
    <w:uiPriority w:val="9"/>
    <w:rsid w:val="00AE7B6E"/>
    <w:rPr>
      <w:rFonts w:eastAsiaTheme="majorEastAsia" w:cstheme="majorBidi"/>
      <w:b/>
      <w:i/>
      <w:color w:val="000000" w:themeColor="text1"/>
    </w:rPr>
  </w:style>
  <w:style w:type="character" w:styleId="CommentReference">
    <w:name w:val="annotation reference"/>
    <w:basedOn w:val="DefaultParagraphFont"/>
    <w:uiPriority w:val="99"/>
    <w:semiHidden/>
    <w:unhideWhenUsed/>
    <w:rsid w:val="009174B5"/>
    <w:rPr>
      <w:sz w:val="16"/>
      <w:szCs w:val="16"/>
    </w:rPr>
  </w:style>
  <w:style w:type="paragraph" w:customStyle="1" w:styleId="TopBottom">
    <w:name w:val="Top_Bottom"/>
    <w:basedOn w:val="Normal"/>
    <w:qFormat/>
    <w:rsid w:val="00AE7B6E"/>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AE7B6E"/>
    <w:pPr>
      <w:pBdr>
        <w:top w:val="none" w:sz="0" w:space="0" w:color="auto"/>
      </w:pBdr>
      <w:spacing w:before="120"/>
    </w:pPr>
  </w:style>
  <w:style w:type="paragraph" w:customStyle="1" w:styleId="Top">
    <w:name w:val="Top"/>
    <w:basedOn w:val="TopBottom"/>
    <w:qFormat/>
    <w:rsid w:val="00AE7B6E"/>
    <w:pPr>
      <w:pBdr>
        <w:bottom w:val="none" w:sz="0" w:space="0" w:color="auto"/>
      </w:pBdr>
      <w:spacing w:after="120"/>
    </w:pPr>
  </w:style>
  <w:style w:type="paragraph" w:customStyle="1" w:styleId="CoverFrontDate">
    <w:name w:val="Cover Front Date"/>
    <w:uiPriority w:val="99"/>
    <w:rsid w:val="003573B3"/>
    <w:pPr>
      <w:jc w:val="center"/>
    </w:pPr>
    <w:rPr>
      <w:rFonts w:ascii="Arial" w:eastAsia="Perpetua" w:hAnsi="Arial" w:cs="Times New Roman"/>
      <w:caps/>
      <w:color w:val="FFFFFF"/>
      <w:spacing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30998">
      <w:bodyDiv w:val="1"/>
      <w:marLeft w:val="0"/>
      <w:marRight w:val="0"/>
      <w:marTop w:val="0"/>
      <w:marBottom w:val="0"/>
      <w:divBdr>
        <w:top w:val="none" w:sz="0" w:space="0" w:color="auto"/>
        <w:left w:val="none" w:sz="0" w:space="0" w:color="auto"/>
        <w:bottom w:val="none" w:sz="0" w:space="0" w:color="auto"/>
        <w:right w:val="none" w:sz="0" w:space="0" w:color="auto"/>
      </w:divBdr>
    </w:div>
    <w:div w:id="217131025">
      <w:bodyDiv w:val="1"/>
      <w:marLeft w:val="0"/>
      <w:marRight w:val="0"/>
      <w:marTop w:val="0"/>
      <w:marBottom w:val="0"/>
      <w:divBdr>
        <w:top w:val="none" w:sz="0" w:space="0" w:color="auto"/>
        <w:left w:val="none" w:sz="0" w:space="0" w:color="auto"/>
        <w:bottom w:val="none" w:sz="0" w:space="0" w:color="auto"/>
        <w:right w:val="none" w:sz="0" w:space="0" w:color="auto"/>
      </w:divBdr>
      <w:divsChild>
        <w:div w:id="181238771">
          <w:marLeft w:val="274"/>
          <w:marRight w:val="0"/>
          <w:marTop w:val="240"/>
          <w:marBottom w:val="0"/>
          <w:divBdr>
            <w:top w:val="none" w:sz="0" w:space="0" w:color="auto"/>
            <w:left w:val="none" w:sz="0" w:space="0" w:color="auto"/>
            <w:bottom w:val="none" w:sz="0" w:space="0" w:color="auto"/>
            <w:right w:val="none" w:sz="0" w:space="0" w:color="auto"/>
          </w:divBdr>
        </w:div>
        <w:div w:id="407656404">
          <w:marLeft w:val="576"/>
          <w:marRight w:val="0"/>
          <w:marTop w:val="240"/>
          <w:marBottom w:val="0"/>
          <w:divBdr>
            <w:top w:val="none" w:sz="0" w:space="0" w:color="auto"/>
            <w:left w:val="none" w:sz="0" w:space="0" w:color="auto"/>
            <w:bottom w:val="none" w:sz="0" w:space="0" w:color="auto"/>
            <w:right w:val="none" w:sz="0" w:space="0" w:color="auto"/>
          </w:divBdr>
        </w:div>
        <w:div w:id="1414934841">
          <w:marLeft w:val="274"/>
          <w:marRight w:val="0"/>
          <w:marTop w:val="240"/>
          <w:marBottom w:val="0"/>
          <w:divBdr>
            <w:top w:val="none" w:sz="0" w:space="0" w:color="auto"/>
            <w:left w:val="none" w:sz="0" w:space="0" w:color="auto"/>
            <w:bottom w:val="none" w:sz="0" w:space="0" w:color="auto"/>
            <w:right w:val="none" w:sz="0" w:space="0" w:color="auto"/>
          </w:divBdr>
        </w:div>
        <w:div w:id="1451048441">
          <w:marLeft w:val="576"/>
          <w:marRight w:val="0"/>
          <w:marTop w:val="240"/>
          <w:marBottom w:val="0"/>
          <w:divBdr>
            <w:top w:val="none" w:sz="0" w:space="0" w:color="auto"/>
            <w:left w:val="none" w:sz="0" w:space="0" w:color="auto"/>
            <w:bottom w:val="none" w:sz="0" w:space="0" w:color="auto"/>
            <w:right w:val="none" w:sz="0" w:space="0" w:color="auto"/>
          </w:divBdr>
        </w:div>
        <w:div w:id="1558322115">
          <w:marLeft w:val="274"/>
          <w:marRight w:val="0"/>
          <w:marTop w:val="240"/>
          <w:marBottom w:val="0"/>
          <w:divBdr>
            <w:top w:val="none" w:sz="0" w:space="0" w:color="auto"/>
            <w:left w:val="none" w:sz="0" w:space="0" w:color="auto"/>
            <w:bottom w:val="none" w:sz="0" w:space="0" w:color="auto"/>
            <w:right w:val="none" w:sz="0" w:space="0" w:color="auto"/>
          </w:divBdr>
        </w:div>
      </w:divsChild>
    </w:div>
    <w:div w:id="383260945">
      <w:bodyDiv w:val="1"/>
      <w:marLeft w:val="0"/>
      <w:marRight w:val="0"/>
      <w:marTop w:val="0"/>
      <w:marBottom w:val="0"/>
      <w:divBdr>
        <w:top w:val="none" w:sz="0" w:space="0" w:color="auto"/>
        <w:left w:val="none" w:sz="0" w:space="0" w:color="auto"/>
        <w:bottom w:val="none" w:sz="0" w:space="0" w:color="auto"/>
        <w:right w:val="none" w:sz="0" w:space="0" w:color="auto"/>
      </w:divBdr>
    </w:div>
    <w:div w:id="496192682">
      <w:bodyDiv w:val="1"/>
      <w:marLeft w:val="0"/>
      <w:marRight w:val="0"/>
      <w:marTop w:val="0"/>
      <w:marBottom w:val="0"/>
      <w:divBdr>
        <w:top w:val="none" w:sz="0" w:space="0" w:color="auto"/>
        <w:left w:val="none" w:sz="0" w:space="0" w:color="auto"/>
        <w:bottom w:val="none" w:sz="0" w:space="0" w:color="auto"/>
        <w:right w:val="none" w:sz="0" w:space="0" w:color="auto"/>
      </w:divBdr>
      <w:divsChild>
        <w:div w:id="495919578">
          <w:marLeft w:val="0"/>
          <w:marRight w:val="0"/>
          <w:marTop w:val="0"/>
          <w:marBottom w:val="0"/>
          <w:divBdr>
            <w:top w:val="none" w:sz="0" w:space="0" w:color="auto"/>
            <w:left w:val="none" w:sz="0" w:space="0" w:color="auto"/>
            <w:bottom w:val="none" w:sz="0" w:space="0" w:color="auto"/>
            <w:right w:val="none" w:sz="0" w:space="0" w:color="auto"/>
          </w:divBdr>
        </w:div>
        <w:div w:id="598025431">
          <w:marLeft w:val="0"/>
          <w:marRight w:val="0"/>
          <w:marTop w:val="0"/>
          <w:marBottom w:val="0"/>
          <w:divBdr>
            <w:top w:val="none" w:sz="0" w:space="0" w:color="auto"/>
            <w:left w:val="none" w:sz="0" w:space="0" w:color="auto"/>
            <w:bottom w:val="none" w:sz="0" w:space="0" w:color="auto"/>
            <w:right w:val="none" w:sz="0" w:space="0" w:color="auto"/>
          </w:divBdr>
        </w:div>
        <w:div w:id="761872082">
          <w:marLeft w:val="0"/>
          <w:marRight w:val="0"/>
          <w:marTop w:val="0"/>
          <w:marBottom w:val="0"/>
          <w:divBdr>
            <w:top w:val="none" w:sz="0" w:space="0" w:color="auto"/>
            <w:left w:val="none" w:sz="0" w:space="0" w:color="auto"/>
            <w:bottom w:val="none" w:sz="0" w:space="0" w:color="auto"/>
            <w:right w:val="none" w:sz="0" w:space="0" w:color="auto"/>
          </w:divBdr>
        </w:div>
        <w:div w:id="1187330793">
          <w:marLeft w:val="0"/>
          <w:marRight w:val="0"/>
          <w:marTop w:val="0"/>
          <w:marBottom w:val="0"/>
          <w:divBdr>
            <w:top w:val="none" w:sz="0" w:space="0" w:color="auto"/>
            <w:left w:val="none" w:sz="0" w:space="0" w:color="auto"/>
            <w:bottom w:val="none" w:sz="0" w:space="0" w:color="auto"/>
            <w:right w:val="none" w:sz="0" w:space="0" w:color="auto"/>
          </w:divBdr>
        </w:div>
        <w:div w:id="1775176388">
          <w:marLeft w:val="0"/>
          <w:marRight w:val="0"/>
          <w:marTop w:val="0"/>
          <w:marBottom w:val="0"/>
          <w:divBdr>
            <w:top w:val="none" w:sz="0" w:space="0" w:color="auto"/>
            <w:left w:val="none" w:sz="0" w:space="0" w:color="auto"/>
            <w:bottom w:val="none" w:sz="0" w:space="0" w:color="auto"/>
            <w:right w:val="none" w:sz="0" w:space="0" w:color="auto"/>
          </w:divBdr>
        </w:div>
      </w:divsChild>
    </w:div>
    <w:div w:id="606087210">
      <w:bodyDiv w:val="1"/>
      <w:marLeft w:val="0"/>
      <w:marRight w:val="0"/>
      <w:marTop w:val="0"/>
      <w:marBottom w:val="0"/>
      <w:divBdr>
        <w:top w:val="none" w:sz="0" w:space="0" w:color="auto"/>
        <w:left w:val="none" w:sz="0" w:space="0" w:color="auto"/>
        <w:bottom w:val="none" w:sz="0" w:space="0" w:color="auto"/>
        <w:right w:val="none" w:sz="0" w:space="0" w:color="auto"/>
      </w:divBdr>
    </w:div>
    <w:div w:id="624000320">
      <w:bodyDiv w:val="1"/>
      <w:marLeft w:val="0"/>
      <w:marRight w:val="0"/>
      <w:marTop w:val="0"/>
      <w:marBottom w:val="0"/>
      <w:divBdr>
        <w:top w:val="none" w:sz="0" w:space="0" w:color="auto"/>
        <w:left w:val="none" w:sz="0" w:space="0" w:color="auto"/>
        <w:bottom w:val="none" w:sz="0" w:space="0" w:color="auto"/>
        <w:right w:val="none" w:sz="0" w:space="0" w:color="auto"/>
      </w:divBdr>
      <w:divsChild>
        <w:div w:id="27879601">
          <w:marLeft w:val="0"/>
          <w:marRight w:val="0"/>
          <w:marTop w:val="0"/>
          <w:marBottom w:val="0"/>
          <w:divBdr>
            <w:top w:val="none" w:sz="0" w:space="0" w:color="auto"/>
            <w:left w:val="none" w:sz="0" w:space="0" w:color="auto"/>
            <w:bottom w:val="none" w:sz="0" w:space="0" w:color="auto"/>
            <w:right w:val="none" w:sz="0" w:space="0" w:color="auto"/>
          </w:divBdr>
        </w:div>
        <w:div w:id="57944637">
          <w:marLeft w:val="0"/>
          <w:marRight w:val="0"/>
          <w:marTop w:val="0"/>
          <w:marBottom w:val="0"/>
          <w:divBdr>
            <w:top w:val="none" w:sz="0" w:space="0" w:color="auto"/>
            <w:left w:val="none" w:sz="0" w:space="0" w:color="auto"/>
            <w:bottom w:val="none" w:sz="0" w:space="0" w:color="auto"/>
            <w:right w:val="none" w:sz="0" w:space="0" w:color="auto"/>
          </w:divBdr>
        </w:div>
        <w:div w:id="94132901">
          <w:marLeft w:val="0"/>
          <w:marRight w:val="0"/>
          <w:marTop w:val="0"/>
          <w:marBottom w:val="0"/>
          <w:divBdr>
            <w:top w:val="none" w:sz="0" w:space="0" w:color="auto"/>
            <w:left w:val="none" w:sz="0" w:space="0" w:color="auto"/>
            <w:bottom w:val="none" w:sz="0" w:space="0" w:color="auto"/>
            <w:right w:val="none" w:sz="0" w:space="0" w:color="auto"/>
          </w:divBdr>
        </w:div>
        <w:div w:id="114255591">
          <w:marLeft w:val="0"/>
          <w:marRight w:val="0"/>
          <w:marTop w:val="0"/>
          <w:marBottom w:val="0"/>
          <w:divBdr>
            <w:top w:val="none" w:sz="0" w:space="0" w:color="auto"/>
            <w:left w:val="none" w:sz="0" w:space="0" w:color="auto"/>
            <w:bottom w:val="none" w:sz="0" w:space="0" w:color="auto"/>
            <w:right w:val="none" w:sz="0" w:space="0" w:color="auto"/>
          </w:divBdr>
        </w:div>
        <w:div w:id="114377220">
          <w:marLeft w:val="0"/>
          <w:marRight w:val="0"/>
          <w:marTop w:val="0"/>
          <w:marBottom w:val="0"/>
          <w:divBdr>
            <w:top w:val="none" w:sz="0" w:space="0" w:color="auto"/>
            <w:left w:val="none" w:sz="0" w:space="0" w:color="auto"/>
            <w:bottom w:val="none" w:sz="0" w:space="0" w:color="auto"/>
            <w:right w:val="none" w:sz="0" w:space="0" w:color="auto"/>
          </w:divBdr>
        </w:div>
        <w:div w:id="122699153">
          <w:marLeft w:val="0"/>
          <w:marRight w:val="0"/>
          <w:marTop w:val="0"/>
          <w:marBottom w:val="0"/>
          <w:divBdr>
            <w:top w:val="none" w:sz="0" w:space="0" w:color="auto"/>
            <w:left w:val="none" w:sz="0" w:space="0" w:color="auto"/>
            <w:bottom w:val="none" w:sz="0" w:space="0" w:color="auto"/>
            <w:right w:val="none" w:sz="0" w:space="0" w:color="auto"/>
          </w:divBdr>
        </w:div>
        <w:div w:id="179707082">
          <w:marLeft w:val="0"/>
          <w:marRight w:val="0"/>
          <w:marTop w:val="0"/>
          <w:marBottom w:val="0"/>
          <w:divBdr>
            <w:top w:val="none" w:sz="0" w:space="0" w:color="auto"/>
            <w:left w:val="none" w:sz="0" w:space="0" w:color="auto"/>
            <w:bottom w:val="none" w:sz="0" w:space="0" w:color="auto"/>
            <w:right w:val="none" w:sz="0" w:space="0" w:color="auto"/>
          </w:divBdr>
        </w:div>
        <w:div w:id="197596048">
          <w:marLeft w:val="0"/>
          <w:marRight w:val="0"/>
          <w:marTop w:val="0"/>
          <w:marBottom w:val="0"/>
          <w:divBdr>
            <w:top w:val="none" w:sz="0" w:space="0" w:color="auto"/>
            <w:left w:val="none" w:sz="0" w:space="0" w:color="auto"/>
            <w:bottom w:val="none" w:sz="0" w:space="0" w:color="auto"/>
            <w:right w:val="none" w:sz="0" w:space="0" w:color="auto"/>
          </w:divBdr>
        </w:div>
        <w:div w:id="231892253">
          <w:marLeft w:val="0"/>
          <w:marRight w:val="0"/>
          <w:marTop w:val="0"/>
          <w:marBottom w:val="0"/>
          <w:divBdr>
            <w:top w:val="none" w:sz="0" w:space="0" w:color="auto"/>
            <w:left w:val="none" w:sz="0" w:space="0" w:color="auto"/>
            <w:bottom w:val="none" w:sz="0" w:space="0" w:color="auto"/>
            <w:right w:val="none" w:sz="0" w:space="0" w:color="auto"/>
          </w:divBdr>
        </w:div>
        <w:div w:id="284392254">
          <w:marLeft w:val="0"/>
          <w:marRight w:val="0"/>
          <w:marTop w:val="0"/>
          <w:marBottom w:val="0"/>
          <w:divBdr>
            <w:top w:val="none" w:sz="0" w:space="0" w:color="auto"/>
            <w:left w:val="none" w:sz="0" w:space="0" w:color="auto"/>
            <w:bottom w:val="none" w:sz="0" w:space="0" w:color="auto"/>
            <w:right w:val="none" w:sz="0" w:space="0" w:color="auto"/>
          </w:divBdr>
        </w:div>
        <w:div w:id="468014991">
          <w:marLeft w:val="0"/>
          <w:marRight w:val="0"/>
          <w:marTop w:val="0"/>
          <w:marBottom w:val="0"/>
          <w:divBdr>
            <w:top w:val="none" w:sz="0" w:space="0" w:color="auto"/>
            <w:left w:val="none" w:sz="0" w:space="0" w:color="auto"/>
            <w:bottom w:val="none" w:sz="0" w:space="0" w:color="auto"/>
            <w:right w:val="none" w:sz="0" w:space="0" w:color="auto"/>
          </w:divBdr>
        </w:div>
        <w:div w:id="593972574">
          <w:marLeft w:val="0"/>
          <w:marRight w:val="0"/>
          <w:marTop w:val="0"/>
          <w:marBottom w:val="0"/>
          <w:divBdr>
            <w:top w:val="none" w:sz="0" w:space="0" w:color="auto"/>
            <w:left w:val="none" w:sz="0" w:space="0" w:color="auto"/>
            <w:bottom w:val="none" w:sz="0" w:space="0" w:color="auto"/>
            <w:right w:val="none" w:sz="0" w:space="0" w:color="auto"/>
          </w:divBdr>
        </w:div>
        <w:div w:id="596645323">
          <w:marLeft w:val="0"/>
          <w:marRight w:val="0"/>
          <w:marTop w:val="0"/>
          <w:marBottom w:val="0"/>
          <w:divBdr>
            <w:top w:val="none" w:sz="0" w:space="0" w:color="auto"/>
            <w:left w:val="none" w:sz="0" w:space="0" w:color="auto"/>
            <w:bottom w:val="none" w:sz="0" w:space="0" w:color="auto"/>
            <w:right w:val="none" w:sz="0" w:space="0" w:color="auto"/>
          </w:divBdr>
        </w:div>
        <w:div w:id="642583836">
          <w:marLeft w:val="0"/>
          <w:marRight w:val="0"/>
          <w:marTop w:val="0"/>
          <w:marBottom w:val="0"/>
          <w:divBdr>
            <w:top w:val="none" w:sz="0" w:space="0" w:color="auto"/>
            <w:left w:val="none" w:sz="0" w:space="0" w:color="auto"/>
            <w:bottom w:val="none" w:sz="0" w:space="0" w:color="auto"/>
            <w:right w:val="none" w:sz="0" w:space="0" w:color="auto"/>
          </w:divBdr>
        </w:div>
        <w:div w:id="670529767">
          <w:marLeft w:val="0"/>
          <w:marRight w:val="0"/>
          <w:marTop w:val="0"/>
          <w:marBottom w:val="0"/>
          <w:divBdr>
            <w:top w:val="none" w:sz="0" w:space="0" w:color="auto"/>
            <w:left w:val="none" w:sz="0" w:space="0" w:color="auto"/>
            <w:bottom w:val="none" w:sz="0" w:space="0" w:color="auto"/>
            <w:right w:val="none" w:sz="0" w:space="0" w:color="auto"/>
          </w:divBdr>
        </w:div>
        <w:div w:id="677972375">
          <w:marLeft w:val="0"/>
          <w:marRight w:val="0"/>
          <w:marTop w:val="0"/>
          <w:marBottom w:val="0"/>
          <w:divBdr>
            <w:top w:val="none" w:sz="0" w:space="0" w:color="auto"/>
            <w:left w:val="none" w:sz="0" w:space="0" w:color="auto"/>
            <w:bottom w:val="none" w:sz="0" w:space="0" w:color="auto"/>
            <w:right w:val="none" w:sz="0" w:space="0" w:color="auto"/>
          </w:divBdr>
        </w:div>
        <w:div w:id="695350981">
          <w:marLeft w:val="0"/>
          <w:marRight w:val="0"/>
          <w:marTop w:val="0"/>
          <w:marBottom w:val="0"/>
          <w:divBdr>
            <w:top w:val="none" w:sz="0" w:space="0" w:color="auto"/>
            <w:left w:val="none" w:sz="0" w:space="0" w:color="auto"/>
            <w:bottom w:val="none" w:sz="0" w:space="0" w:color="auto"/>
            <w:right w:val="none" w:sz="0" w:space="0" w:color="auto"/>
          </w:divBdr>
        </w:div>
        <w:div w:id="723454126">
          <w:marLeft w:val="0"/>
          <w:marRight w:val="0"/>
          <w:marTop w:val="0"/>
          <w:marBottom w:val="0"/>
          <w:divBdr>
            <w:top w:val="none" w:sz="0" w:space="0" w:color="auto"/>
            <w:left w:val="none" w:sz="0" w:space="0" w:color="auto"/>
            <w:bottom w:val="none" w:sz="0" w:space="0" w:color="auto"/>
            <w:right w:val="none" w:sz="0" w:space="0" w:color="auto"/>
          </w:divBdr>
        </w:div>
        <w:div w:id="730467082">
          <w:marLeft w:val="0"/>
          <w:marRight w:val="0"/>
          <w:marTop w:val="0"/>
          <w:marBottom w:val="0"/>
          <w:divBdr>
            <w:top w:val="none" w:sz="0" w:space="0" w:color="auto"/>
            <w:left w:val="none" w:sz="0" w:space="0" w:color="auto"/>
            <w:bottom w:val="none" w:sz="0" w:space="0" w:color="auto"/>
            <w:right w:val="none" w:sz="0" w:space="0" w:color="auto"/>
          </w:divBdr>
        </w:div>
        <w:div w:id="828667510">
          <w:marLeft w:val="0"/>
          <w:marRight w:val="0"/>
          <w:marTop w:val="0"/>
          <w:marBottom w:val="0"/>
          <w:divBdr>
            <w:top w:val="none" w:sz="0" w:space="0" w:color="auto"/>
            <w:left w:val="none" w:sz="0" w:space="0" w:color="auto"/>
            <w:bottom w:val="none" w:sz="0" w:space="0" w:color="auto"/>
            <w:right w:val="none" w:sz="0" w:space="0" w:color="auto"/>
          </w:divBdr>
        </w:div>
        <w:div w:id="836388977">
          <w:marLeft w:val="0"/>
          <w:marRight w:val="0"/>
          <w:marTop w:val="0"/>
          <w:marBottom w:val="0"/>
          <w:divBdr>
            <w:top w:val="none" w:sz="0" w:space="0" w:color="auto"/>
            <w:left w:val="none" w:sz="0" w:space="0" w:color="auto"/>
            <w:bottom w:val="none" w:sz="0" w:space="0" w:color="auto"/>
            <w:right w:val="none" w:sz="0" w:space="0" w:color="auto"/>
          </w:divBdr>
        </w:div>
        <w:div w:id="852499302">
          <w:marLeft w:val="0"/>
          <w:marRight w:val="0"/>
          <w:marTop w:val="0"/>
          <w:marBottom w:val="0"/>
          <w:divBdr>
            <w:top w:val="none" w:sz="0" w:space="0" w:color="auto"/>
            <w:left w:val="none" w:sz="0" w:space="0" w:color="auto"/>
            <w:bottom w:val="none" w:sz="0" w:space="0" w:color="auto"/>
            <w:right w:val="none" w:sz="0" w:space="0" w:color="auto"/>
          </w:divBdr>
        </w:div>
        <w:div w:id="891814646">
          <w:marLeft w:val="0"/>
          <w:marRight w:val="0"/>
          <w:marTop w:val="0"/>
          <w:marBottom w:val="0"/>
          <w:divBdr>
            <w:top w:val="none" w:sz="0" w:space="0" w:color="auto"/>
            <w:left w:val="none" w:sz="0" w:space="0" w:color="auto"/>
            <w:bottom w:val="none" w:sz="0" w:space="0" w:color="auto"/>
            <w:right w:val="none" w:sz="0" w:space="0" w:color="auto"/>
          </w:divBdr>
        </w:div>
        <w:div w:id="891967455">
          <w:marLeft w:val="0"/>
          <w:marRight w:val="0"/>
          <w:marTop w:val="0"/>
          <w:marBottom w:val="0"/>
          <w:divBdr>
            <w:top w:val="none" w:sz="0" w:space="0" w:color="auto"/>
            <w:left w:val="none" w:sz="0" w:space="0" w:color="auto"/>
            <w:bottom w:val="none" w:sz="0" w:space="0" w:color="auto"/>
            <w:right w:val="none" w:sz="0" w:space="0" w:color="auto"/>
          </w:divBdr>
        </w:div>
        <w:div w:id="913468320">
          <w:marLeft w:val="0"/>
          <w:marRight w:val="0"/>
          <w:marTop w:val="0"/>
          <w:marBottom w:val="0"/>
          <w:divBdr>
            <w:top w:val="none" w:sz="0" w:space="0" w:color="auto"/>
            <w:left w:val="none" w:sz="0" w:space="0" w:color="auto"/>
            <w:bottom w:val="none" w:sz="0" w:space="0" w:color="auto"/>
            <w:right w:val="none" w:sz="0" w:space="0" w:color="auto"/>
          </w:divBdr>
        </w:div>
        <w:div w:id="917596085">
          <w:marLeft w:val="0"/>
          <w:marRight w:val="0"/>
          <w:marTop w:val="0"/>
          <w:marBottom w:val="0"/>
          <w:divBdr>
            <w:top w:val="none" w:sz="0" w:space="0" w:color="auto"/>
            <w:left w:val="none" w:sz="0" w:space="0" w:color="auto"/>
            <w:bottom w:val="none" w:sz="0" w:space="0" w:color="auto"/>
            <w:right w:val="none" w:sz="0" w:space="0" w:color="auto"/>
          </w:divBdr>
        </w:div>
        <w:div w:id="1038167190">
          <w:marLeft w:val="0"/>
          <w:marRight w:val="0"/>
          <w:marTop w:val="0"/>
          <w:marBottom w:val="0"/>
          <w:divBdr>
            <w:top w:val="none" w:sz="0" w:space="0" w:color="auto"/>
            <w:left w:val="none" w:sz="0" w:space="0" w:color="auto"/>
            <w:bottom w:val="none" w:sz="0" w:space="0" w:color="auto"/>
            <w:right w:val="none" w:sz="0" w:space="0" w:color="auto"/>
          </w:divBdr>
        </w:div>
        <w:div w:id="1068769728">
          <w:marLeft w:val="0"/>
          <w:marRight w:val="0"/>
          <w:marTop w:val="0"/>
          <w:marBottom w:val="0"/>
          <w:divBdr>
            <w:top w:val="none" w:sz="0" w:space="0" w:color="auto"/>
            <w:left w:val="none" w:sz="0" w:space="0" w:color="auto"/>
            <w:bottom w:val="none" w:sz="0" w:space="0" w:color="auto"/>
            <w:right w:val="none" w:sz="0" w:space="0" w:color="auto"/>
          </w:divBdr>
        </w:div>
        <w:div w:id="1110735201">
          <w:marLeft w:val="0"/>
          <w:marRight w:val="0"/>
          <w:marTop w:val="0"/>
          <w:marBottom w:val="0"/>
          <w:divBdr>
            <w:top w:val="none" w:sz="0" w:space="0" w:color="auto"/>
            <w:left w:val="none" w:sz="0" w:space="0" w:color="auto"/>
            <w:bottom w:val="none" w:sz="0" w:space="0" w:color="auto"/>
            <w:right w:val="none" w:sz="0" w:space="0" w:color="auto"/>
          </w:divBdr>
        </w:div>
        <w:div w:id="1157189173">
          <w:marLeft w:val="0"/>
          <w:marRight w:val="0"/>
          <w:marTop w:val="0"/>
          <w:marBottom w:val="0"/>
          <w:divBdr>
            <w:top w:val="none" w:sz="0" w:space="0" w:color="auto"/>
            <w:left w:val="none" w:sz="0" w:space="0" w:color="auto"/>
            <w:bottom w:val="none" w:sz="0" w:space="0" w:color="auto"/>
            <w:right w:val="none" w:sz="0" w:space="0" w:color="auto"/>
          </w:divBdr>
        </w:div>
        <w:div w:id="1176453973">
          <w:marLeft w:val="0"/>
          <w:marRight w:val="0"/>
          <w:marTop w:val="0"/>
          <w:marBottom w:val="0"/>
          <w:divBdr>
            <w:top w:val="none" w:sz="0" w:space="0" w:color="auto"/>
            <w:left w:val="none" w:sz="0" w:space="0" w:color="auto"/>
            <w:bottom w:val="none" w:sz="0" w:space="0" w:color="auto"/>
            <w:right w:val="none" w:sz="0" w:space="0" w:color="auto"/>
          </w:divBdr>
        </w:div>
        <w:div w:id="1284186846">
          <w:marLeft w:val="0"/>
          <w:marRight w:val="0"/>
          <w:marTop w:val="0"/>
          <w:marBottom w:val="0"/>
          <w:divBdr>
            <w:top w:val="none" w:sz="0" w:space="0" w:color="auto"/>
            <w:left w:val="none" w:sz="0" w:space="0" w:color="auto"/>
            <w:bottom w:val="none" w:sz="0" w:space="0" w:color="auto"/>
            <w:right w:val="none" w:sz="0" w:space="0" w:color="auto"/>
          </w:divBdr>
        </w:div>
        <w:div w:id="1317957177">
          <w:marLeft w:val="0"/>
          <w:marRight w:val="0"/>
          <w:marTop w:val="0"/>
          <w:marBottom w:val="0"/>
          <w:divBdr>
            <w:top w:val="none" w:sz="0" w:space="0" w:color="auto"/>
            <w:left w:val="none" w:sz="0" w:space="0" w:color="auto"/>
            <w:bottom w:val="none" w:sz="0" w:space="0" w:color="auto"/>
            <w:right w:val="none" w:sz="0" w:space="0" w:color="auto"/>
          </w:divBdr>
        </w:div>
        <w:div w:id="1378041786">
          <w:marLeft w:val="0"/>
          <w:marRight w:val="0"/>
          <w:marTop w:val="0"/>
          <w:marBottom w:val="0"/>
          <w:divBdr>
            <w:top w:val="none" w:sz="0" w:space="0" w:color="auto"/>
            <w:left w:val="none" w:sz="0" w:space="0" w:color="auto"/>
            <w:bottom w:val="none" w:sz="0" w:space="0" w:color="auto"/>
            <w:right w:val="none" w:sz="0" w:space="0" w:color="auto"/>
          </w:divBdr>
        </w:div>
        <w:div w:id="1586067463">
          <w:marLeft w:val="0"/>
          <w:marRight w:val="0"/>
          <w:marTop w:val="0"/>
          <w:marBottom w:val="0"/>
          <w:divBdr>
            <w:top w:val="none" w:sz="0" w:space="0" w:color="auto"/>
            <w:left w:val="none" w:sz="0" w:space="0" w:color="auto"/>
            <w:bottom w:val="none" w:sz="0" w:space="0" w:color="auto"/>
            <w:right w:val="none" w:sz="0" w:space="0" w:color="auto"/>
          </w:divBdr>
        </w:div>
        <w:div w:id="1611818189">
          <w:marLeft w:val="0"/>
          <w:marRight w:val="0"/>
          <w:marTop w:val="0"/>
          <w:marBottom w:val="0"/>
          <w:divBdr>
            <w:top w:val="none" w:sz="0" w:space="0" w:color="auto"/>
            <w:left w:val="none" w:sz="0" w:space="0" w:color="auto"/>
            <w:bottom w:val="none" w:sz="0" w:space="0" w:color="auto"/>
            <w:right w:val="none" w:sz="0" w:space="0" w:color="auto"/>
          </w:divBdr>
        </w:div>
        <w:div w:id="1699040877">
          <w:marLeft w:val="0"/>
          <w:marRight w:val="0"/>
          <w:marTop w:val="0"/>
          <w:marBottom w:val="0"/>
          <w:divBdr>
            <w:top w:val="none" w:sz="0" w:space="0" w:color="auto"/>
            <w:left w:val="none" w:sz="0" w:space="0" w:color="auto"/>
            <w:bottom w:val="none" w:sz="0" w:space="0" w:color="auto"/>
            <w:right w:val="none" w:sz="0" w:space="0" w:color="auto"/>
          </w:divBdr>
        </w:div>
        <w:div w:id="1721400484">
          <w:marLeft w:val="0"/>
          <w:marRight w:val="0"/>
          <w:marTop w:val="0"/>
          <w:marBottom w:val="0"/>
          <w:divBdr>
            <w:top w:val="none" w:sz="0" w:space="0" w:color="auto"/>
            <w:left w:val="none" w:sz="0" w:space="0" w:color="auto"/>
            <w:bottom w:val="none" w:sz="0" w:space="0" w:color="auto"/>
            <w:right w:val="none" w:sz="0" w:space="0" w:color="auto"/>
          </w:divBdr>
        </w:div>
        <w:div w:id="1862939602">
          <w:marLeft w:val="0"/>
          <w:marRight w:val="0"/>
          <w:marTop w:val="0"/>
          <w:marBottom w:val="0"/>
          <w:divBdr>
            <w:top w:val="none" w:sz="0" w:space="0" w:color="auto"/>
            <w:left w:val="none" w:sz="0" w:space="0" w:color="auto"/>
            <w:bottom w:val="none" w:sz="0" w:space="0" w:color="auto"/>
            <w:right w:val="none" w:sz="0" w:space="0" w:color="auto"/>
          </w:divBdr>
        </w:div>
        <w:div w:id="1987278399">
          <w:marLeft w:val="0"/>
          <w:marRight w:val="0"/>
          <w:marTop w:val="0"/>
          <w:marBottom w:val="0"/>
          <w:divBdr>
            <w:top w:val="none" w:sz="0" w:space="0" w:color="auto"/>
            <w:left w:val="none" w:sz="0" w:space="0" w:color="auto"/>
            <w:bottom w:val="none" w:sz="0" w:space="0" w:color="auto"/>
            <w:right w:val="none" w:sz="0" w:space="0" w:color="auto"/>
          </w:divBdr>
        </w:div>
        <w:div w:id="2011445707">
          <w:marLeft w:val="0"/>
          <w:marRight w:val="0"/>
          <w:marTop w:val="0"/>
          <w:marBottom w:val="0"/>
          <w:divBdr>
            <w:top w:val="none" w:sz="0" w:space="0" w:color="auto"/>
            <w:left w:val="none" w:sz="0" w:space="0" w:color="auto"/>
            <w:bottom w:val="none" w:sz="0" w:space="0" w:color="auto"/>
            <w:right w:val="none" w:sz="0" w:space="0" w:color="auto"/>
          </w:divBdr>
        </w:div>
        <w:div w:id="2036612075">
          <w:marLeft w:val="0"/>
          <w:marRight w:val="0"/>
          <w:marTop w:val="0"/>
          <w:marBottom w:val="0"/>
          <w:divBdr>
            <w:top w:val="none" w:sz="0" w:space="0" w:color="auto"/>
            <w:left w:val="none" w:sz="0" w:space="0" w:color="auto"/>
            <w:bottom w:val="none" w:sz="0" w:space="0" w:color="auto"/>
            <w:right w:val="none" w:sz="0" w:space="0" w:color="auto"/>
          </w:divBdr>
        </w:div>
        <w:div w:id="2084796646">
          <w:marLeft w:val="0"/>
          <w:marRight w:val="0"/>
          <w:marTop w:val="0"/>
          <w:marBottom w:val="0"/>
          <w:divBdr>
            <w:top w:val="none" w:sz="0" w:space="0" w:color="auto"/>
            <w:left w:val="none" w:sz="0" w:space="0" w:color="auto"/>
            <w:bottom w:val="none" w:sz="0" w:space="0" w:color="auto"/>
            <w:right w:val="none" w:sz="0" w:space="0" w:color="auto"/>
          </w:divBdr>
        </w:div>
        <w:div w:id="2108891916">
          <w:marLeft w:val="0"/>
          <w:marRight w:val="0"/>
          <w:marTop w:val="0"/>
          <w:marBottom w:val="0"/>
          <w:divBdr>
            <w:top w:val="none" w:sz="0" w:space="0" w:color="auto"/>
            <w:left w:val="none" w:sz="0" w:space="0" w:color="auto"/>
            <w:bottom w:val="none" w:sz="0" w:space="0" w:color="auto"/>
            <w:right w:val="none" w:sz="0" w:space="0" w:color="auto"/>
          </w:divBdr>
        </w:div>
      </w:divsChild>
    </w:div>
    <w:div w:id="111463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ocadsv.org/FileStream.aspx?FileID=38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utureswithoutviolence.org/userfiles/file/Children_and_Families/Advocates%20Guide%281%29.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org/THforSurvivors/508_Ch_02_Access_Selection.docx"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futureswithoutviolence.org/userfiles/file/Children_and_Families/Advocates%20Guide(1).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ationalcenterdvtraumamh.org/wp-content/uploads/2013/03/NCDVTMH_EBPLitReview201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jstor.org/stable/353683?seq=1"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4" Type="http://schemas.openxmlformats.org/officeDocument/2006/relationships/hyperlink" Target="http://www.ncdsv.org/images/MoCADSV_UnderstandingNatureDynamicsOfDV_revised5-201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65E2F-68C8-4E46-BD9D-92AA0C5A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1227</Words>
  <Characters>7129</Characters>
  <Application>Microsoft Office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Program Housing Models</vt:lpstr>
    </vt:vector>
  </TitlesOfParts>
  <Company>American Institutes for Research</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3 executive summary - Program Housing Models</dc:title>
  <dc:subject>Transitional Housing for Survivors of Domestic and Sexual Violence: Program Housing Models</dc:subject>
  <dc:creator>Office on Violence Against Women, U.S. Department of Justice / American Institutes for Research</dc:creator>
  <cp:keywords>Domestic Violence, Sexual Assault, Transitional Housing, Homelessness, Housing Models</cp:keywords>
  <dc:description/>
  <cp:lastModifiedBy>Berman, Fred</cp:lastModifiedBy>
  <cp:revision>9</cp:revision>
  <cp:lastPrinted>2017-01-05T05:12:00Z</cp:lastPrinted>
  <dcterms:created xsi:type="dcterms:W3CDTF">2017-02-27T17:47:00Z</dcterms:created>
  <dcterms:modified xsi:type="dcterms:W3CDTF">2018-05-30T17:27:00Z</dcterms:modified>
</cp:coreProperties>
</file>